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2"/>
        <w:tblW w:w="0" w:type="auto"/>
        <w:jc w:val="center"/>
        <w:tblLayout w:type="fixed"/>
        <w:tblCellMar>
          <w:top w:w="0" w:type="dxa"/>
          <w:left w:w="108" w:type="dxa"/>
          <w:bottom w:w="0" w:type="dxa"/>
          <w:right w:w="108" w:type="dxa"/>
        </w:tblCellMar>
      </w:tblPr>
      <w:tblGrid>
        <w:gridCol w:w="1038"/>
        <w:gridCol w:w="3906"/>
        <w:gridCol w:w="1188"/>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化粪池、隔油井、沉沙井、窨井、下水道疏通清理</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1批</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45000.00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kern w:val="0"/>
                <w:sz w:val="22"/>
                <w:szCs w:val="22"/>
                <w:highlight w:val="none"/>
              </w:rPr>
              <w:t xml:space="preserve"> </w:t>
            </w: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highlight w:val="none"/>
              </w:rPr>
            </w:pPr>
            <w:r>
              <w:rPr>
                <w:rFonts w:hint="eastAsia" w:ascii="宋体" w:hAnsi="宋体" w:cs="宋体"/>
                <w:b/>
                <w:bCs/>
                <w:kern w:val="0"/>
                <w:sz w:val="22"/>
                <w:szCs w:val="22"/>
                <w:highlight w:val="none"/>
                <w:u w:val="single"/>
              </w:rPr>
              <w:t>▲</w:t>
            </w:r>
            <w:r>
              <w:rPr>
                <w:rFonts w:hint="eastAsia" w:ascii="宋体" w:hAnsi="宋体" w:cs="宋体"/>
                <w:b/>
                <w:bCs/>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u w:val="single"/>
              </w:rPr>
              <w:t>卖方完成全部</w:t>
            </w:r>
            <w:r>
              <w:rPr>
                <w:rFonts w:hint="eastAsia" w:ascii="宋体" w:hAnsi="宋体" w:cs="宋体"/>
                <w:sz w:val="22"/>
                <w:szCs w:val="22"/>
                <w:highlight w:val="none"/>
                <w:u w:val="single"/>
                <w:lang w:eastAsia="zh-CN"/>
              </w:rPr>
              <w:t>服务内容</w:t>
            </w:r>
            <w:r>
              <w:rPr>
                <w:rFonts w:hint="eastAsia" w:ascii="宋体" w:hAnsi="宋体" w:cs="宋体"/>
                <w:sz w:val="22"/>
                <w:szCs w:val="22"/>
                <w:highlight w:val="none"/>
                <w:u w:val="single"/>
              </w:rPr>
              <w:t>并通过买方验收，</w:t>
            </w:r>
            <w:r>
              <w:rPr>
                <w:rFonts w:hint="eastAsia" w:ascii="宋体" w:hAnsi="宋体" w:cs="宋体"/>
                <w:sz w:val="22"/>
                <w:szCs w:val="22"/>
                <w:highlight w:val="none"/>
                <w:u w:val="single"/>
                <w:lang w:eastAsia="zh-CN"/>
              </w:rPr>
              <w:t>验收合格后，按每个学期支付一次</w:t>
            </w:r>
            <w:r>
              <w:rPr>
                <w:rFonts w:hint="eastAsia" w:ascii="宋体" w:hAnsi="宋体" w:cs="宋体"/>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Cs/>
                <w:color w:val="000000"/>
                <w:kern w:val="0"/>
                <w:sz w:val="22"/>
                <w:szCs w:val="22"/>
                <w:highlight w:val="none"/>
                <w:lang w:eastAsia="zh-CN"/>
              </w:rPr>
            </w:pPr>
            <w:r>
              <w:rPr>
                <w:rFonts w:hint="eastAsia" w:ascii="宋体" w:hAnsi="宋体" w:eastAsia="宋体" w:cs="宋体"/>
                <w:b/>
                <w:bCs w:val="0"/>
                <w:color w:val="000000"/>
                <w:kern w:val="0"/>
                <w:sz w:val="22"/>
                <w:szCs w:val="22"/>
                <w:highlight w:val="none"/>
                <w:lang w:eastAsia="zh-CN"/>
              </w:rPr>
              <w:t>合同期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default" w:ascii="宋体" w:hAnsi="宋体" w:eastAsia="宋体" w:cs="宋体"/>
                <w:bCs/>
                <w:color w:val="000000"/>
                <w:kern w:val="0"/>
                <w:sz w:val="22"/>
                <w:szCs w:val="22"/>
                <w:highlight w:val="none"/>
                <w:lang w:val="en-US" w:eastAsia="zh-CN"/>
              </w:rPr>
            </w:pPr>
            <w:r>
              <w:rPr>
                <w:rFonts w:hint="eastAsia" w:ascii="宋体" w:hAnsi="宋体" w:eastAsia="宋体" w:cs="宋体"/>
                <w:bCs/>
                <w:color w:val="000000"/>
                <w:kern w:val="0"/>
                <w:sz w:val="22"/>
                <w:szCs w:val="22"/>
                <w:highlight w:val="none"/>
              </w:rPr>
              <w:t>本合同期限为2+1，即</w:t>
            </w:r>
            <w:r>
              <w:rPr>
                <w:rFonts w:hint="eastAsia" w:ascii="宋体" w:hAnsi="宋体" w:eastAsia="宋体" w:cs="宋体"/>
                <w:bCs/>
                <w:color w:val="000000"/>
                <w:kern w:val="0"/>
                <w:sz w:val="22"/>
                <w:szCs w:val="22"/>
                <w:highlight w:val="none"/>
                <w:lang w:eastAsia="zh-CN"/>
              </w:rPr>
              <w:t>第一次合同期限为：</w:t>
            </w:r>
            <w:r>
              <w:rPr>
                <w:rFonts w:hint="eastAsia" w:ascii="宋体" w:hAnsi="宋体" w:eastAsia="宋体" w:cs="宋体"/>
                <w:bCs/>
                <w:color w:val="000000"/>
                <w:kern w:val="0"/>
                <w:sz w:val="22"/>
                <w:szCs w:val="22"/>
                <w:highlight w:val="none"/>
              </w:rPr>
              <w:t>2021年7月1日至2023年6月30日。</w:t>
            </w:r>
            <w:r>
              <w:rPr>
                <w:rFonts w:hint="eastAsia" w:ascii="宋体" w:hAnsi="宋体" w:eastAsia="宋体" w:cs="宋体"/>
                <w:bCs/>
                <w:color w:val="000000"/>
                <w:kern w:val="0"/>
                <w:sz w:val="22"/>
                <w:szCs w:val="22"/>
                <w:highlight w:val="none"/>
                <w:lang w:eastAsia="zh-CN"/>
              </w:rPr>
              <w:t>两年到期后，</w:t>
            </w:r>
            <w:r>
              <w:rPr>
                <w:rFonts w:hint="eastAsia" w:ascii="宋体" w:hAnsi="宋体" w:eastAsia="宋体" w:cs="宋体"/>
                <w:bCs/>
                <w:color w:val="000000"/>
                <w:kern w:val="0"/>
                <w:sz w:val="22"/>
                <w:szCs w:val="22"/>
                <w:highlight w:val="none"/>
              </w:rPr>
              <w:t>若服务质量较好，经双方协商同意，可续签一年到2024年6月30日。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kern w:val="0"/>
                <w:sz w:val="22"/>
                <w:szCs w:val="22"/>
                <w:highlight w:val="none"/>
              </w:rPr>
            </w:pPr>
            <w:r>
              <w:rPr>
                <w:rFonts w:hint="eastAsia" w:ascii="宋体" w:hAnsi="宋体" w:cs="宋体"/>
                <w:sz w:val="22"/>
                <w:szCs w:val="22"/>
                <w:highlight w:val="none"/>
                <w:lang w:eastAsia="zh-CN"/>
              </w:rPr>
              <w:t>温州职院资产经营有限公司</w:t>
            </w:r>
            <w:r>
              <w:rPr>
                <w:rFonts w:hint="eastAsia" w:ascii="宋体" w:hAnsi="宋体" w:cs="宋体"/>
                <w:sz w:val="22"/>
                <w:szCs w:val="22"/>
                <w:highlight w:val="none"/>
              </w:rPr>
              <w:t>指定地点。</w:t>
            </w:r>
          </w:p>
        </w:tc>
      </w:tr>
    </w:tbl>
    <w:p>
      <w:pPr>
        <w:numPr>
          <w:ilvl w:val="0"/>
          <w:numId w:val="1"/>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pStyle w:val="5"/>
              <w:numPr>
                <w:ilvl w:val="0"/>
                <w:numId w:val="2"/>
              </w:numPr>
              <w:spacing w:line="360" w:lineRule="auto"/>
              <w:ind w:left="0" w:firstLine="200" w:firstLineChars="0"/>
              <w:jc w:val="left"/>
              <w:rPr>
                <w:rFonts w:hint="eastAsia" w:ascii="宋体" w:hAnsi="宋体" w:eastAsia="宋体" w:cs="Times New Roman"/>
                <w:sz w:val="22"/>
                <w:szCs w:val="22"/>
                <w:highlight w:val="none"/>
              </w:rPr>
            </w:pPr>
            <w:r>
              <w:rPr>
                <w:rFonts w:hint="eastAsia" w:ascii="宋体" w:hAnsi="宋体" w:eastAsia="宋体" w:cs="Times New Roman"/>
                <w:bCs/>
                <w:kern w:val="44"/>
                <w:sz w:val="22"/>
                <w:szCs w:val="22"/>
                <w:highlight w:val="none"/>
              </w:rPr>
              <w:t>项目名称：温州职院资产经营有限公司化粪池、隔油井、沉沙井、窨井、下水道疏通清理。</w:t>
            </w:r>
          </w:p>
          <w:p>
            <w:pPr>
              <w:pStyle w:val="5"/>
              <w:numPr>
                <w:ilvl w:val="0"/>
                <w:numId w:val="2"/>
              </w:numPr>
              <w:spacing w:line="360" w:lineRule="auto"/>
              <w:ind w:left="0" w:firstLine="200" w:firstLineChars="0"/>
              <w:jc w:val="left"/>
              <w:rPr>
                <w:rFonts w:hint="eastAsia" w:ascii="宋体" w:hAnsi="宋体" w:eastAsia="宋体" w:cs="Times New Roman"/>
                <w:sz w:val="22"/>
                <w:szCs w:val="22"/>
                <w:highlight w:val="none"/>
              </w:rPr>
            </w:pPr>
            <w:r>
              <w:rPr>
                <w:rFonts w:hint="eastAsia" w:ascii="宋体" w:hAnsi="宋体" w:eastAsia="宋体" w:cs="Times New Roman"/>
                <w:bCs/>
                <w:kern w:val="44"/>
                <w:sz w:val="22"/>
                <w:szCs w:val="22"/>
                <w:highlight w:val="none"/>
              </w:rPr>
              <w:t>预算金额：4</w:t>
            </w:r>
            <w:r>
              <w:rPr>
                <w:rFonts w:hint="eastAsia" w:ascii="宋体" w:hAnsi="宋体" w:eastAsia="宋体" w:cs="Times New Roman"/>
                <w:bCs/>
                <w:kern w:val="44"/>
                <w:sz w:val="22"/>
                <w:szCs w:val="22"/>
                <w:highlight w:val="none"/>
                <w:lang w:val="en-US" w:eastAsia="zh-CN"/>
              </w:rPr>
              <w:t>.5</w:t>
            </w:r>
            <w:r>
              <w:rPr>
                <w:rFonts w:hint="eastAsia" w:ascii="宋体" w:hAnsi="宋体" w:eastAsia="宋体" w:cs="Times New Roman"/>
                <w:bCs/>
                <w:kern w:val="44"/>
                <w:sz w:val="22"/>
                <w:szCs w:val="22"/>
                <w:highlight w:val="none"/>
              </w:rPr>
              <w:t>万元人民币；</w:t>
            </w:r>
            <w:r>
              <w:rPr>
                <w:rFonts w:hint="eastAsia" w:ascii="宋体" w:hAnsi="宋体" w:eastAsia="宋体" w:cs="Times New Roman"/>
                <w:sz w:val="22"/>
                <w:szCs w:val="22"/>
                <w:highlight w:val="none"/>
              </w:rPr>
              <w:t>包括人员工资、各类劳动福利、保险、材料、工具、车辆及设备的维修保养，及各项税费</w:t>
            </w:r>
            <w:r>
              <w:rPr>
                <w:rFonts w:hint="eastAsia" w:ascii="宋体" w:hAnsi="宋体" w:eastAsia="宋体" w:cs="Times New Roman"/>
                <w:sz w:val="22"/>
                <w:szCs w:val="22"/>
                <w:highlight w:val="none"/>
                <w:lang w:eastAsia="zh-CN"/>
              </w:rPr>
              <w:t>等</w:t>
            </w:r>
            <w:r>
              <w:rPr>
                <w:rFonts w:hint="eastAsia" w:ascii="宋体" w:hAnsi="宋体" w:eastAsia="宋体" w:cs="Times New Roman"/>
                <w:sz w:val="22"/>
                <w:szCs w:val="22"/>
                <w:highlight w:val="none"/>
              </w:rPr>
              <w:t>。</w:t>
            </w:r>
          </w:p>
          <w:p>
            <w:pPr>
              <w:pStyle w:val="6"/>
              <w:numPr>
                <w:ilvl w:val="0"/>
                <w:numId w:val="2"/>
              </w:numPr>
              <w:spacing w:line="360" w:lineRule="auto"/>
              <w:ind w:left="0" w:firstLine="200" w:firstLineChars="0"/>
              <w:jc w:val="left"/>
              <w:rPr>
                <w:rFonts w:hint="eastAsia" w:ascii="宋体" w:hAnsi="宋体" w:eastAsia="宋体"/>
                <w:bCs/>
                <w:kern w:val="44"/>
                <w:sz w:val="22"/>
                <w:szCs w:val="22"/>
                <w:highlight w:val="none"/>
              </w:rPr>
            </w:pPr>
            <w:r>
              <w:rPr>
                <w:rFonts w:hint="eastAsia" w:ascii="宋体" w:hAnsi="宋体" w:eastAsia="宋体"/>
                <w:bCs/>
                <w:kern w:val="44"/>
                <w:sz w:val="22"/>
                <w:szCs w:val="22"/>
                <w:highlight w:val="none"/>
              </w:rPr>
              <w:t>服务内容：</w:t>
            </w:r>
          </w:p>
          <w:p>
            <w:pPr>
              <w:pStyle w:val="6"/>
              <w:spacing w:line="360" w:lineRule="auto"/>
              <w:ind w:firstLine="330" w:firstLineChars="150"/>
              <w:jc w:val="left"/>
              <w:rPr>
                <w:rFonts w:hint="eastAsia" w:ascii="宋体" w:hAnsi="宋体" w:eastAsia="宋体"/>
                <w:bCs/>
                <w:kern w:val="44"/>
                <w:sz w:val="22"/>
                <w:szCs w:val="22"/>
                <w:highlight w:val="none"/>
              </w:rPr>
            </w:pPr>
            <w:r>
              <w:rPr>
                <w:rFonts w:hint="eastAsia" w:ascii="宋体" w:hAnsi="宋体" w:eastAsia="宋体"/>
                <w:bCs/>
                <w:kern w:val="44"/>
                <w:sz w:val="22"/>
                <w:szCs w:val="22"/>
                <w:highlight w:val="none"/>
              </w:rPr>
              <w:t>校园范围内的雨水、污水、明沟渠清理，室外管道主管道疏通管理，化粪池、隔油井、沉沙井、窨井清理。</w:t>
            </w:r>
          </w:p>
          <w:p>
            <w:pPr>
              <w:pStyle w:val="6"/>
              <w:numPr>
                <w:ilvl w:val="0"/>
                <w:numId w:val="2"/>
              </w:numPr>
              <w:spacing w:line="360" w:lineRule="auto"/>
              <w:ind w:left="0" w:leftChars="0" w:firstLine="200" w:firstLineChars="0"/>
              <w:jc w:val="left"/>
              <w:rPr>
                <w:rFonts w:hint="eastAsia" w:ascii="宋体" w:hAnsi="宋体" w:eastAsia="宋体"/>
                <w:bCs/>
                <w:kern w:val="44"/>
                <w:sz w:val="22"/>
                <w:szCs w:val="22"/>
                <w:highlight w:val="none"/>
                <w:lang w:eastAsia="zh-CN"/>
              </w:rPr>
            </w:pPr>
            <w:r>
              <w:rPr>
                <w:rFonts w:hint="eastAsia" w:ascii="宋体" w:hAnsi="宋体" w:eastAsia="宋体"/>
                <w:bCs/>
                <w:kern w:val="44"/>
                <w:sz w:val="22"/>
                <w:szCs w:val="22"/>
                <w:highlight w:val="none"/>
                <w:lang w:eastAsia="zh-CN"/>
              </w:rPr>
              <w:t>服务要求：</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遵守甲方各项规章制度，服从甲方的管理。</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凡属乙方工作范围的内容，自接到甲方清理的紧急通知后，2小时内到达指定地点并开始作业。</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爱护甲方环境和财产，不准在甲方范围内使用消防用水等。遇有异常情况及时向甲方有关部门汇报。</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每次清理必须完全彻底，检查井内应能见到流水槽，管道要求无堵塞，水流通畅。</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每次清理疏通后，应立即将周围清理并冲洗干净。</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清理管道及检查井时必须注意安全，污水井盖打开后必须经过一段时间通风后才能下人作业，并要有其他人监护。清理马路上的检查井时要有专人监护行人及过往车辆，并放置警示牌，清理完后要立即盖好井盖。</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乙方对井盖是否稳固具有管理责任，发现井盖松动、损坏、丢失、地下管道经过部位地面下陷的情况必须及时与甲方沟通协调，同时做好安全保护措施。</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Times New Roman"/>
                <w:kern w:val="2"/>
                <w:sz w:val="22"/>
                <w:szCs w:val="22"/>
                <w:highlight w:val="none"/>
                <w:lang w:val="en-US" w:eastAsia="zh-CN" w:bidi="ar-SA"/>
              </w:rPr>
            </w:pPr>
            <w:r>
              <w:rPr>
                <w:rFonts w:hint="eastAsia" w:ascii="宋体" w:hAnsi="宋体" w:eastAsia="宋体" w:cs="Times New Roman"/>
                <w:kern w:val="2"/>
                <w:sz w:val="22"/>
                <w:szCs w:val="22"/>
                <w:highlight w:val="none"/>
                <w:lang w:val="en-US" w:eastAsia="zh-CN" w:bidi="ar-SA"/>
              </w:rPr>
              <w:t>对甲方检查不合格之处，自接到甲方签发的《工作通知单》之时24小时内必须整改完毕。</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cs="宋体"/>
                <w:b/>
                <w:bCs/>
                <w:color w:val="auto"/>
                <w:spacing w:val="-6"/>
                <w:sz w:val="22"/>
                <w:szCs w:val="22"/>
                <w:highlight w:val="none"/>
                <w:vertAlign w:val="baseline"/>
              </w:rPr>
            </w:pPr>
            <w:r>
              <w:rPr>
                <w:rFonts w:hint="eastAsia" w:ascii="宋体" w:hAnsi="宋体" w:eastAsia="宋体" w:cs="Times New Roman"/>
                <w:kern w:val="2"/>
                <w:sz w:val="22"/>
                <w:szCs w:val="22"/>
                <w:highlight w:val="none"/>
                <w:lang w:val="en-US" w:eastAsia="zh-CN" w:bidi="ar-SA"/>
              </w:rPr>
              <w:t>负责管道清理作业范围内的安全，对一切因乙方原因发生的安全事故以及对第三方的伤害事</w:t>
            </w:r>
            <w:r>
              <w:rPr>
                <w:rFonts w:hint="eastAsia" w:ascii="宋体" w:hAnsi="宋体" w:eastAsia="宋体" w:cs="Times New Roman"/>
                <w:color w:val="auto"/>
                <w:kern w:val="2"/>
                <w:sz w:val="22"/>
                <w:szCs w:val="22"/>
                <w:highlight w:val="none"/>
                <w:lang w:val="en-US" w:eastAsia="zh-CN" w:bidi="ar-SA"/>
              </w:rPr>
              <w:t>故负责。</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color w:val="auto"/>
                <w:highlight w:val="none"/>
              </w:rPr>
            </w:pPr>
            <w:r>
              <w:rPr>
                <w:rFonts w:hint="eastAsia"/>
                <w:color w:val="auto"/>
                <w:highlight w:val="none"/>
              </w:rPr>
              <w:t>化粪池、隔油池</w:t>
            </w:r>
            <w:r>
              <w:rPr>
                <w:rFonts w:hint="eastAsia"/>
                <w:color w:val="auto"/>
                <w:highlight w:val="none"/>
                <w:lang w:eastAsia="zh-CN"/>
              </w:rPr>
              <w:t>、</w:t>
            </w:r>
            <w:r>
              <w:rPr>
                <w:rFonts w:hint="eastAsia"/>
                <w:color w:val="auto"/>
                <w:highlight w:val="none"/>
              </w:rPr>
              <w:t>阴沟、窨井每学年大清理两次。大小沉砂池每学期大清理两次。</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0"/>
              <w:jc w:val="left"/>
              <w:textAlignment w:val="auto"/>
              <w:rPr>
                <w:color w:val="auto"/>
                <w:highlight w:val="none"/>
              </w:rPr>
            </w:pPr>
            <w:r>
              <w:rPr>
                <w:rFonts w:hint="eastAsia"/>
                <w:color w:val="auto"/>
                <w:highlight w:val="none"/>
              </w:rPr>
              <w:t>平时能随叫随到，不定期检查校园院化粪池、隔油池、沉砂池、雨水管道、污水管道、明沟渠及清理，防止有溢满、堵塞等情况发生。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cs="宋体"/>
                <w:b/>
                <w:bCs/>
                <w:spacing w:val="-6"/>
                <w:sz w:val="22"/>
                <w:szCs w:val="22"/>
                <w:highlight w:val="none"/>
                <w:vertAlign w:val="baseline"/>
              </w:rPr>
            </w:pPr>
          </w:p>
        </w:tc>
      </w:tr>
    </w:tbl>
    <w:p>
      <w:pPr>
        <w:numPr>
          <w:ilvl w:val="0"/>
          <w:numId w:val="0"/>
        </w:numPr>
        <w:snapToGrid w:val="0"/>
        <w:spacing w:line="360" w:lineRule="exact"/>
        <w:rPr>
          <w:rFonts w:hint="eastAsia" w:ascii="宋体" w:hAnsi="宋体" w:cs="宋体"/>
          <w:b/>
          <w:bCs/>
          <w:spacing w:val="-6"/>
          <w:sz w:val="22"/>
          <w:szCs w:val="22"/>
          <w:highlight w:val="none"/>
        </w:rPr>
      </w:pPr>
    </w:p>
    <w:p>
      <w:pPr>
        <w:numPr>
          <w:ilvl w:val="0"/>
          <w:numId w:val="1"/>
        </w:numPr>
        <w:snapToGrid w:val="0"/>
        <w:spacing w:line="360" w:lineRule="exact"/>
        <w:rPr>
          <w:rFonts w:ascii="宋体" w:hAnsi="宋体" w:cs="宋体"/>
          <w:b/>
          <w:spacing w:val="-6"/>
          <w:sz w:val="22"/>
          <w:szCs w:val="22"/>
          <w:highlight w:val="none"/>
        </w:rPr>
      </w:pPr>
      <w:r>
        <w:rPr>
          <w:rFonts w:hint="eastAsia" w:ascii="宋体" w:hAnsi="宋体" w:cs="宋体"/>
          <w:b/>
          <w:spacing w:val="-6"/>
          <w:sz w:val="22"/>
          <w:szCs w:val="22"/>
          <w:highlight w:val="none"/>
        </w:rPr>
        <w:t>其他</w:t>
      </w:r>
    </w:p>
    <w:p>
      <w:pPr>
        <w:spacing w:line="360" w:lineRule="exact"/>
        <w:ind w:firstLine="313" w:firstLineChars="150"/>
        <w:rPr>
          <w:rFonts w:hint="eastAsia" w:ascii="宋体" w:hAnsi="宋体" w:cs="宋体"/>
          <w:b/>
          <w:spacing w:val="-6"/>
          <w:sz w:val="22"/>
          <w:szCs w:val="22"/>
          <w:highlight w:val="none"/>
        </w:rPr>
      </w:pPr>
      <w:r>
        <w:rPr>
          <w:rFonts w:hint="eastAsia" w:ascii="宋体" w:hAnsi="宋体" w:cs="宋体"/>
          <w:b/>
          <w:spacing w:val="-6"/>
          <w:sz w:val="22"/>
          <w:szCs w:val="22"/>
          <w:highlight w:val="none"/>
        </w:rPr>
        <w:t>1、标“▲且加下划线”的有关技术和商务要求为实质性条款，响应方必须做出实质性响应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highlight w:val="none"/>
        </w:rPr>
      </w:pPr>
      <w:r>
        <w:rPr>
          <w:rFonts w:hint="eastAsia" w:ascii="宋体" w:hAnsi="宋体" w:cs="宋体"/>
          <w:b/>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snapToGrid w:val="0"/>
        <w:spacing w:line="360" w:lineRule="exact"/>
        <w:ind w:firstLine="418" w:firstLineChars="200"/>
        <w:jc w:val="left"/>
        <w:rPr>
          <w:rFonts w:ascii="宋体" w:hAnsi="宋体" w:cs="宋体"/>
          <w:b/>
          <w:spacing w:val="-6"/>
          <w:sz w:val="22"/>
          <w:szCs w:val="22"/>
          <w:highlight w:val="none"/>
        </w:rPr>
      </w:pPr>
      <w:r>
        <w:rPr>
          <w:rFonts w:hint="eastAsia" w:ascii="宋体" w:hAnsi="宋体" w:cs="宋体"/>
          <w:b/>
          <w:spacing w:val="-6"/>
          <w:sz w:val="22"/>
          <w:szCs w:val="22"/>
          <w:highlight w:val="none"/>
        </w:rPr>
        <w:t>3.如技术部分中未特别注明需执行的国家相关标准、行业标准、地方标准或者其他标准、规范，则统一执行最新标准、规范。</w:t>
      </w:r>
    </w:p>
    <w:p>
      <w:pPr>
        <w:adjustRightInd w:val="0"/>
        <w:snapToGrid w:val="0"/>
        <w:spacing w:before="120" w:beforeLines="50" w:after="120" w:afterLines="50" w:line="360" w:lineRule="auto"/>
        <w:outlineLvl w:val="0"/>
        <w:rPr>
          <w:rFonts w:hint="eastAsia" w:ascii="宋体" w:hAnsi="宋体" w:cs="宋体"/>
          <w:b/>
          <w:sz w:val="30"/>
          <w:szCs w:val="30"/>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514F7E3E"/>
    <w:multiLevelType w:val="multilevel"/>
    <w:tmpl w:val="514F7E3E"/>
    <w:lvl w:ilvl="0" w:tentative="0">
      <w:start w:val="1"/>
      <w:numFmt w:val="japaneseCounting"/>
      <w:lvlText w:val="%1、"/>
      <w:lvlJc w:val="left"/>
      <w:pPr>
        <w:ind w:left="1425" w:hanging="94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8097405"/>
    <w:multiLevelType w:val="multilevel"/>
    <w:tmpl w:val="6809740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B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rPr>
      <w:rFonts w:ascii="Calibri" w:hAnsi="Calibri"/>
      <w:szCs w:val="22"/>
    </w:rPr>
  </w:style>
  <w:style w:type="paragraph" w:customStyle="1" w:styleId="6">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2021-05-25T06:09:02Z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