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outlineLvl w:val="0"/>
        <w:rPr>
          <w:rFonts w:hint="eastAsia" w:ascii="宋体" w:hAnsi="宋体" w:cs="宋体"/>
          <w:b/>
          <w:sz w:val="32"/>
        </w:rPr>
      </w:pPr>
      <w:r>
        <w:rPr>
          <w:rFonts w:hint="eastAsia" w:ascii="宋体" w:hAnsi="宋体" w:cs="宋体"/>
          <w:b/>
          <w:sz w:val="32"/>
        </w:rPr>
        <w:t>采购需求</w:t>
      </w:r>
    </w:p>
    <w:p>
      <w:pPr>
        <w:spacing w:line="400" w:lineRule="exact"/>
        <w:rPr>
          <w:rFonts w:hint="eastAsia" w:ascii="宋体" w:hAnsi="宋体" w:cs="宋体"/>
          <w:b/>
          <w:bCs/>
          <w:sz w:val="22"/>
        </w:rPr>
      </w:pPr>
    </w:p>
    <w:p>
      <w:pPr>
        <w:pStyle w:val="3"/>
        <w:numPr>
          <w:ilvl w:val="0"/>
          <w:numId w:val="0"/>
        </w:numPr>
        <w:spacing w:line="360" w:lineRule="exact"/>
        <w:rPr>
          <w:rFonts w:hint="eastAsia" w:ascii="宋体" w:hAnsi="宋体" w:cs="宋体"/>
          <w:sz w:val="22"/>
          <w:szCs w:val="22"/>
        </w:rPr>
      </w:pPr>
      <w:bookmarkStart w:id="0" w:name="_Toc30920"/>
      <w:bookmarkStart w:id="1" w:name="_Toc487538042"/>
      <w:r>
        <w:rPr>
          <w:rFonts w:hint="eastAsia" w:ascii="宋体" w:hAnsi="宋体" w:cs="宋体"/>
          <w:sz w:val="22"/>
          <w:szCs w:val="22"/>
        </w:rPr>
        <w:t>一、相关说明</w:t>
      </w:r>
      <w:bookmarkEnd w:id="0"/>
      <w:bookmarkEnd w:id="1"/>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rPr>
        <w:t>目的：服务瑞安学院全体师生，承担师生预防保健，健康教育，常见病和传染病预防与控制及</w:t>
      </w:r>
      <w:r>
        <w:rPr>
          <w:rFonts w:hint="eastAsia" w:ascii="宋体" w:hAnsi="宋体" w:cs="宋体"/>
          <w:sz w:val="22"/>
          <w:highlight w:val="none"/>
        </w:rPr>
        <w:t>必要的医疗服务。</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本项目为</w:t>
      </w:r>
      <w:r>
        <w:rPr>
          <w:rFonts w:hint="eastAsia" w:ascii="宋体" w:hAnsi="宋体" w:cs="宋体"/>
          <w:sz w:val="22"/>
          <w:highlight w:val="none"/>
          <w:lang w:eastAsia="zh-CN"/>
        </w:rPr>
        <w:t>瑞安学院医务室外包项目</w:t>
      </w:r>
      <w:r>
        <w:rPr>
          <w:rFonts w:hint="eastAsia" w:ascii="宋体" w:hAnsi="宋体" w:cs="宋体"/>
          <w:sz w:val="22"/>
          <w:highlight w:val="none"/>
        </w:rPr>
        <w:t>，外包场地位于瑞安学院会文楼一楼，使用面积约80平米。</w:t>
      </w:r>
    </w:p>
    <w:p>
      <w:pPr>
        <w:numPr>
          <w:ilvl w:val="0"/>
          <w:numId w:val="2"/>
        </w:numPr>
        <w:spacing w:line="360" w:lineRule="exact"/>
        <w:ind w:left="20" w:leftChars="0" w:firstLineChars="0"/>
        <w:rPr>
          <w:rFonts w:ascii="宋体" w:hAnsi="宋体" w:cs="宋体"/>
          <w:kern w:val="0"/>
          <w:sz w:val="22"/>
          <w:highlight w:val="none"/>
        </w:rPr>
      </w:pPr>
      <w:r>
        <w:rPr>
          <w:rFonts w:hint="eastAsia" w:ascii="宋体" w:hAnsi="宋体" w:cs="宋体"/>
          <w:sz w:val="22"/>
          <w:highlight w:val="none"/>
        </w:rPr>
        <w:t>外包</w:t>
      </w:r>
      <w:r>
        <w:rPr>
          <w:rFonts w:hint="eastAsia" w:ascii="宋体" w:hAnsi="宋体" w:cs="宋体"/>
          <w:color w:val="auto"/>
          <w:sz w:val="22"/>
          <w:highlight w:val="none"/>
        </w:rPr>
        <w:t>服务期：</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年。</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服务地点：瑞安（</w:t>
      </w:r>
      <w:r>
        <w:rPr>
          <w:rFonts w:hint="eastAsia" w:ascii="宋体" w:hAnsi="宋体" w:cs="宋体"/>
          <w:kern w:val="0"/>
          <w:sz w:val="22"/>
          <w:highlight w:val="none"/>
        </w:rPr>
        <w:t>温州职业技术学院瑞安学院</w:t>
      </w:r>
      <w:r>
        <w:rPr>
          <w:rFonts w:hint="eastAsia" w:ascii="宋体" w:hAnsi="宋体" w:cs="宋体"/>
          <w:sz w:val="22"/>
          <w:highlight w:val="none"/>
        </w:rPr>
        <w:t>）</w:t>
      </w:r>
      <w:r>
        <w:rPr>
          <w:rFonts w:hint="eastAsia" w:ascii="宋体" w:hAnsi="宋体" w:cs="宋体"/>
          <w:kern w:val="0"/>
          <w:sz w:val="22"/>
          <w:highlight w:val="none"/>
        </w:rPr>
        <w:t>。</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温州职业技术学院瑞安学院现有师生人数约1900人。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20" w:leftChars="0" w:firstLine="40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本次承包的成交供应商所采购的药品应为通用药品类，必须能在温州市老百姓大药房、一洲药店、叶同仁堂等知名的药店买到同类药品，且在学院内销售的价格不得高于</w:t>
      </w:r>
      <w:r>
        <w:rPr>
          <w:rFonts w:hint="eastAsia" w:ascii="宋体" w:hAnsi="宋体" w:eastAsia="宋体" w:cs="宋体"/>
          <w:color w:val="auto"/>
          <w:sz w:val="22"/>
          <w:szCs w:val="22"/>
          <w:highlight w:val="none"/>
          <w:lang w:eastAsia="zh-CN"/>
        </w:rPr>
        <w:t>温州职业技术学院高教园区医务室的价格</w:t>
      </w:r>
      <w:r>
        <w:rPr>
          <w:rFonts w:hint="eastAsia" w:ascii="宋体" w:hAnsi="宋体" w:eastAsia="宋体" w:cs="宋体"/>
          <w:color w:val="auto"/>
          <w:sz w:val="22"/>
          <w:szCs w:val="22"/>
          <w:highlight w:val="none"/>
        </w:rPr>
        <w:t>，药品的销售应当明码标价。采购人有权随时对成交供应商所采购的药品种类及药品售价就行抽查监督，为此，承包的供应商必须向采购人提供药品采购清单目录及相关的台账，一旦发现成交供应商采购非通用类药品或者售价高于本条规定的要求，将作出严厉处罚。</w:t>
      </w:r>
    </w:p>
    <w:p>
      <w:pPr>
        <w:numPr>
          <w:ilvl w:val="0"/>
          <w:numId w:val="2"/>
        </w:numPr>
        <w:spacing w:line="360" w:lineRule="exact"/>
        <w:ind w:left="20" w:leftChars="0" w:firstLineChars="0"/>
        <w:rPr>
          <w:rFonts w:hint="eastAsia" w:ascii="宋体" w:hAnsi="宋体" w:cs="宋体"/>
          <w:b/>
          <w:color w:val="auto"/>
          <w:sz w:val="22"/>
          <w:highlight w:val="none"/>
          <w:u w:val="single"/>
        </w:rPr>
      </w:pPr>
      <w:r>
        <w:rPr>
          <w:rFonts w:hint="eastAsia" w:ascii="宋体" w:hAnsi="宋体" w:cs="宋体"/>
          <w:b/>
          <w:bCs/>
          <w:color w:val="auto"/>
          <w:sz w:val="22"/>
          <w:highlight w:val="none"/>
        </w:rPr>
        <w:t>▲</w:t>
      </w:r>
      <w:r>
        <w:rPr>
          <w:rFonts w:hint="eastAsia" w:ascii="宋体" w:hAnsi="宋体" w:cs="宋体"/>
          <w:b/>
          <w:color w:val="auto"/>
          <w:sz w:val="22"/>
          <w:highlight w:val="none"/>
          <w:u w:val="single"/>
        </w:rPr>
        <w:t>本项目采购预算为人民币</w:t>
      </w:r>
      <w:r>
        <w:rPr>
          <w:rFonts w:hint="eastAsia" w:ascii="宋体" w:hAnsi="宋体" w:cs="宋体"/>
          <w:b/>
          <w:color w:val="auto"/>
          <w:sz w:val="22"/>
          <w:highlight w:val="none"/>
          <w:u w:val="single"/>
          <w:lang w:eastAsia="zh-CN"/>
        </w:rPr>
        <w:t>300000</w:t>
      </w:r>
      <w:r>
        <w:rPr>
          <w:rFonts w:hint="eastAsia" w:ascii="宋体" w:hAnsi="宋体" w:cs="宋体"/>
          <w:b/>
          <w:color w:val="auto"/>
          <w:sz w:val="22"/>
          <w:highlight w:val="none"/>
          <w:u w:val="single"/>
        </w:rPr>
        <w:t>.00元</w:t>
      </w:r>
      <w:r>
        <w:rPr>
          <w:rFonts w:hint="eastAsia" w:ascii="宋体" w:hAnsi="宋体" w:cs="宋体"/>
          <w:b/>
          <w:color w:val="auto"/>
          <w:sz w:val="22"/>
          <w:highlight w:val="none"/>
          <w:u w:val="single"/>
          <w:lang w:val="en-US" w:eastAsia="zh-CN"/>
        </w:rPr>
        <w:t>/年</w:t>
      </w:r>
      <w:r>
        <w:rPr>
          <w:rFonts w:hint="eastAsia" w:ascii="宋体" w:hAnsi="宋体" w:cs="宋体"/>
          <w:b/>
          <w:color w:val="auto"/>
          <w:sz w:val="22"/>
          <w:highlight w:val="none"/>
          <w:u w:val="single"/>
        </w:rPr>
        <w:t>，报价超过预算的，投标无效。</w:t>
      </w:r>
    </w:p>
    <w:p>
      <w:pPr>
        <w:pStyle w:val="3"/>
        <w:numPr>
          <w:ilvl w:val="0"/>
          <w:numId w:val="0"/>
        </w:numPr>
        <w:spacing w:line="360" w:lineRule="exact"/>
        <w:rPr>
          <w:rFonts w:hint="eastAsia" w:ascii="宋体" w:hAnsi="宋体" w:cs="宋体"/>
          <w:sz w:val="22"/>
          <w:szCs w:val="22"/>
        </w:rPr>
      </w:pPr>
      <w:bookmarkStart w:id="2" w:name="_Toc23949"/>
      <w:bookmarkStart w:id="3" w:name="_Toc487538043"/>
      <w:r>
        <w:rPr>
          <w:rFonts w:hint="eastAsia" w:ascii="宋体" w:hAnsi="宋体" w:cs="宋体"/>
          <w:sz w:val="22"/>
          <w:szCs w:val="22"/>
        </w:rPr>
        <w:t>二、采购内容及要求</w:t>
      </w:r>
      <w:bookmarkEnd w:id="2"/>
      <w:bookmarkEnd w:id="3"/>
    </w:p>
    <w:p>
      <w:pPr>
        <w:spacing w:line="360" w:lineRule="exact"/>
        <w:ind w:firstLine="440" w:firstLineChars="200"/>
        <w:rPr>
          <w:rFonts w:hint="eastAsia" w:ascii="宋体" w:hAnsi="宋体" w:cs="宋体"/>
          <w:sz w:val="22"/>
        </w:rPr>
      </w:pPr>
      <w:r>
        <w:rPr>
          <w:rFonts w:hint="eastAsia" w:ascii="宋体" w:hAnsi="宋体" w:cs="宋体"/>
          <w:sz w:val="22"/>
        </w:rPr>
        <w:t>1.服务内容和要求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47"/>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序号</w:t>
            </w:r>
          </w:p>
        </w:tc>
        <w:tc>
          <w:tcPr>
            <w:tcW w:w="927"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合作服务内容</w:t>
            </w:r>
          </w:p>
        </w:tc>
        <w:tc>
          <w:tcPr>
            <w:tcW w:w="3669"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合作具体内容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1</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日常门（急）诊</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负责每天24小时的急诊、门诊诊疗。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2</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预防保健</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负责学院师生常见病、多发病的预防，并协助学校做好疾控宣传预防工作。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3</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传染病预防控制及公共卫生事件处理</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负责学院传染病和突发公共卫生事件的处理，及时发现并上报，隔离、治疗并对密切接触者筛查、对寝室进行消毒。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4</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学院日常卫生检查</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协助定期对学院餐厅、饮用水、环境卫生的检查。协助“灭四害”工作。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5</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健康宣教</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包括定期在宣传栏、广播、网络等各种平台开展卫生知识宣传，派发健康宣传资料，按教育部规定每学年开展健康教育课程。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6</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卫生测评</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负责准备相关资料，协助学院迎接国家、省市及监督所对学院的卫生测评检查。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7</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其他</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负责提供新生入学军训、大型考试、运动会等重大</w:t>
            </w:r>
            <w:r>
              <w:rPr>
                <w:rFonts w:hint="eastAsia" w:ascii="宋体" w:hAnsi="宋体" w:cs="宋体"/>
                <w:sz w:val="22"/>
                <w:highlight w:val="none"/>
                <w:lang w:eastAsia="zh-CN"/>
              </w:rPr>
              <w:t>学生</w:t>
            </w:r>
            <w:r>
              <w:rPr>
                <w:rFonts w:hint="eastAsia" w:ascii="宋体" w:hAnsi="宋体" w:cs="宋体"/>
                <w:sz w:val="22"/>
                <w:highlight w:val="none"/>
              </w:rPr>
              <w:t>活动</w:t>
            </w:r>
            <w:r>
              <w:rPr>
                <w:rFonts w:hint="eastAsia" w:ascii="宋体" w:hAnsi="宋体" w:cs="宋体"/>
                <w:sz w:val="22"/>
                <w:highlight w:val="none"/>
                <w:lang w:eastAsia="zh-CN"/>
              </w:rPr>
              <w:t>的</w:t>
            </w:r>
            <w:r>
              <w:rPr>
                <w:rFonts w:hint="eastAsia" w:ascii="宋体" w:hAnsi="宋体" w:cs="宋体"/>
                <w:sz w:val="22"/>
                <w:highlight w:val="none"/>
              </w:rPr>
              <w:t>医疗保障。</w:t>
            </w:r>
          </w:p>
        </w:tc>
      </w:tr>
    </w:tbl>
    <w:p>
      <w:pPr>
        <w:spacing w:line="360" w:lineRule="exact"/>
        <w:rPr>
          <w:rFonts w:hint="eastAsia" w:ascii="宋体" w:hAnsi="宋体" w:cs="宋体"/>
          <w:sz w:val="22"/>
        </w:rPr>
      </w:pPr>
      <w:r>
        <w:rPr>
          <w:rFonts w:hint="eastAsia" w:ascii="宋体" w:hAnsi="宋体" w:cs="宋体"/>
          <w:b/>
          <w:bCs/>
          <w:sz w:val="22"/>
        </w:rPr>
        <w:t xml:space="preserve"> </w:t>
      </w:r>
      <w:r>
        <w:rPr>
          <w:rFonts w:hint="eastAsia" w:ascii="宋体" w:hAnsi="宋体" w:cs="宋体"/>
          <w:sz w:val="22"/>
        </w:rPr>
        <w:t xml:space="preserve">   2</w:t>
      </w:r>
      <w:r>
        <w:rPr>
          <w:rFonts w:hint="eastAsia" w:ascii="宋体" w:hAnsi="宋体" w:cs="宋体"/>
          <w:sz w:val="22"/>
          <w:highlight w:val="none"/>
        </w:rPr>
        <w:t>.服务期内采购人对中</w:t>
      </w:r>
      <w:r>
        <w:rPr>
          <w:rFonts w:hint="eastAsia" w:ascii="宋体" w:hAnsi="宋体" w:cs="宋体"/>
          <w:sz w:val="22"/>
        </w:rPr>
        <w:t>标人进行考核，如考核不合格或出现重大过错，采购人有权终止合同并由中标人承担全部责任。</w:t>
      </w:r>
    </w:p>
    <w:p>
      <w:pPr>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3.服务期内</w:t>
      </w:r>
      <w:r>
        <w:rPr>
          <w:rFonts w:hint="eastAsia" w:ascii="宋体" w:hAnsi="宋体" w:eastAsia="宋体" w:cs="宋体"/>
          <w:b w:val="0"/>
          <w:bCs w:val="0"/>
          <w:color w:val="auto"/>
          <w:sz w:val="22"/>
          <w:szCs w:val="22"/>
          <w:highlight w:val="none"/>
          <w:lang w:val="en-US" w:eastAsia="zh-CN"/>
        </w:rPr>
        <w:t>中标人至少派出驻二名执业医师及以上与一名执业护士到校医务室工作</w:t>
      </w:r>
      <w:r>
        <w:rPr>
          <w:rFonts w:hint="eastAsia" w:ascii="宋体" w:hAnsi="宋体" w:cs="宋体"/>
          <w:sz w:val="22"/>
          <w:highlight w:val="none"/>
        </w:rPr>
        <w:t>，保证24小时门诊服务；</w:t>
      </w:r>
      <w:r>
        <w:rPr>
          <w:rFonts w:hint="eastAsia" w:ascii="宋体" w:hAnsi="宋体" w:cs="宋体"/>
          <w:b/>
          <w:bCs/>
          <w:spacing w:val="-6"/>
          <w:sz w:val="22"/>
          <w:highlight w:val="none"/>
          <w:u w:val="single"/>
        </w:rPr>
        <w:t>▲</w:t>
      </w:r>
      <w:r>
        <w:rPr>
          <w:rFonts w:hint="eastAsia" w:ascii="宋体" w:hAnsi="宋体" w:eastAsia="宋体" w:cs="宋体"/>
          <w:sz w:val="22"/>
          <w:highlight w:val="none"/>
          <w:u w:val="single"/>
        </w:rPr>
        <w:t>派驻人员</w:t>
      </w:r>
      <w:r>
        <w:rPr>
          <w:rFonts w:hint="default" w:ascii="宋体" w:hAnsi="宋体" w:eastAsia="宋体" w:cs="宋体"/>
          <w:sz w:val="22"/>
          <w:highlight w:val="none"/>
          <w:u w:val="single"/>
        </w:rPr>
        <w:t>必须</w:t>
      </w:r>
      <w:r>
        <w:rPr>
          <w:rFonts w:hint="eastAsia" w:ascii="宋体" w:hAnsi="宋体" w:eastAsia="宋体" w:cs="宋体"/>
          <w:sz w:val="22"/>
          <w:highlight w:val="none"/>
          <w:u w:val="single"/>
          <w:lang w:val="en-US" w:eastAsia="zh-CN"/>
        </w:rPr>
        <w:t>在合同签订前</w:t>
      </w:r>
      <w:r>
        <w:rPr>
          <w:rFonts w:hint="default" w:ascii="宋体" w:hAnsi="宋体" w:eastAsia="宋体" w:cs="宋体"/>
          <w:sz w:val="22"/>
          <w:highlight w:val="none"/>
          <w:u w:val="single"/>
        </w:rPr>
        <w:t>完成在</w:t>
      </w:r>
      <w:r>
        <w:rPr>
          <w:rFonts w:hint="eastAsia" w:ascii="宋体" w:hAnsi="宋体" w:eastAsia="宋体" w:cs="宋体"/>
          <w:sz w:val="22"/>
          <w:highlight w:val="none"/>
          <w:u w:val="single"/>
        </w:rPr>
        <w:t>温州职业技术学院瑞安学院医务室的医疗机构</w:t>
      </w:r>
      <w:r>
        <w:rPr>
          <w:rFonts w:hint="default" w:ascii="宋体" w:hAnsi="宋体" w:eastAsia="宋体" w:cs="宋体"/>
          <w:sz w:val="22"/>
          <w:highlight w:val="none"/>
          <w:u w:val="single"/>
        </w:rPr>
        <w:t>执业注册或备案</w:t>
      </w:r>
      <w:r>
        <w:rPr>
          <w:rFonts w:hint="eastAsia" w:ascii="宋体" w:hAnsi="宋体" w:cs="宋体"/>
          <w:sz w:val="22"/>
          <w:highlight w:val="none"/>
          <w:u w:val="single"/>
          <w:lang w:eastAsia="zh-CN"/>
        </w:rPr>
        <w:t>，</w:t>
      </w:r>
      <w:r>
        <w:rPr>
          <w:rFonts w:hint="eastAsia" w:ascii="宋体" w:hAnsi="宋体" w:cs="宋体"/>
          <w:sz w:val="22"/>
          <w:highlight w:val="none"/>
        </w:rPr>
        <w:t>执有国家相关有效资格证书、执业证书，具备基本急救技术（</w:t>
      </w:r>
      <w:r>
        <w:rPr>
          <w:rFonts w:hint="eastAsia" w:ascii="宋体" w:hAnsi="宋体" w:cs="宋体"/>
          <w:color w:val="auto"/>
          <w:sz w:val="24"/>
          <w:szCs w:val="24"/>
          <w:highlight w:val="none"/>
          <w:lang w:eastAsia="zh-CN"/>
        </w:rPr>
        <w:t>并做好电子化信息存档</w:t>
      </w:r>
      <w:r>
        <w:rPr>
          <w:rFonts w:hint="eastAsia" w:ascii="宋体" w:hAnsi="宋体" w:cs="宋体"/>
          <w:color w:val="auto"/>
          <w:sz w:val="22"/>
          <w:highlight w:val="none"/>
        </w:rPr>
        <w:t>如心肺复苏、AED</w:t>
      </w:r>
      <w:r>
        <w:rPr>
          <w:rFonts w:hint="eastAsia" w:ascii="宋体" w:hAnsi="宋体" w:cs="宋体"/>
          <w:color w:val="auto"/>
          <w:sz w:val="22"/>
          <w:highlight w:val="none"/>
          <w:lang w:eastAsia="zh-CN"/>
        </w:rPr>
        <w:t>、</w:t>
      </w:r>
      <w:r>
        <w:rPr>
          <w:rFonts w:hint="eastAsia" w:ascii="宋体" w:hAnsi="宋体" w:cs="宋体"/>
          <w:color w:val="auto"/>
          <w:sz w:val="22"/>
          <w:highlight w:val="none"/>
        </w:rPr>
        <w:t>包扎止血等）</w:t>
      </w:r>
      <w:r>
        <w:rPr>
          <w:rFonts w:hint="eastAsia" w:ascii="宋体" w:hAnsi="宋体" w:cs="宋体"/>
          <w:sz w:val="22"/>
          <w:highlight w:val="none"/>
        </w:rPr>
        <w:t>，中标人须将从业医护人员（非退休返聘人员）相关证件交由采购人备案登记，并配合采购人完成医护人员在当地卫生行政部门的注册。</w:t>
      </w:r>
    </w:p>
    <w:p>
      <w:pPr>
        <w:spacing w:line="360" w:lineRule="exact"/>
        <w:ind w:firstLine="440" w:firstLineChars="200"/>
        <w:rPr>
          <w:rFonts w:hint="eastAsia" w:ascii="宋体" w:hAnsi="宋体" w:cs="宋体"/>
          <w:color w:val="auto"/>
          <w:sz w:val="22"/>
          <w:highlight w:val="none"/>
        </w:rPr>
      </w:pPr>
      <w:r>
        <w:rPr>
          <w:rFonts w:hint="eastAsia" w:ascii="宋体" w:hAnsi="宋体" w:cs="宋体"/>
          <w:sz w:val="22"/>
          <w:highlight w:val="none"/>
        </w:rPr>
        <w:t>4</w:t>
      </w:r>
      <w:r>
        <w:rPr>
          <w:rFonts w:hint="eastAsia" w:ascii="宋体" w:hAnsi="宋体" w:cs="宋体"/>
          <w:color w:val="auto"/>
          <w:sz w:val="22"/>
          <w:highlight w:val="none"/>
        </w:rPr>
        <w:t xml:space="preserve">.医务室免收采购人师生及在校非在编员工（由采购人提供名单）就诊的一般诊疗费。 </w:t>
      </w:r>
    </w:p>
    <w:p>
      <w:pPr>
        <w:spacing w:line="360" w:lineRule="exact"/>
        <w:ind w:firstLine="440" w:firstLineChars="200"/>
        <w:rPr>
          <w:rFonts w:hint="eastAsia" w:ascii="宋体" w:hAnsi="宋体" w:cs="宋体"/>
          <w:color w:val="auto"/>
          <w:sz w:val="22"/>
        </w:rPr>
      </w:pPr>
      <w:r>
        <w:rPr>
          <w:rFonts w:hint="eastAsia" w:ascii="宋体" w:hAnsi="宋体" w:cs="宋体"/>
          <w:color w:val="auto"/>
          <w:sz w:val="22"/>
          <w:highlight w:val="none"/>
        </w:rPr>
        <w:t>5.就医费用结算：采用校园一卡通、无线支付形式收取。所产生的收入全部归</w:t>
      </w:r>
      <w:r>
        <w:rPr>
          <w:rFonts w:hint="eastAsia" w:ascii="宋体" w:hAnsi="宋体" w:cs="宋体"/>
          <w:color w:val="auto"/>
          <w:sz w:val="22"/>
          <w:highlight w:val="none"/>
          <w:lang w:val="en-US" w:eastAsia="zh-CN"/>
        </w:rPr>
        <w:t>中标人</w:t>
      </w:r>
      <w:r>
        <w:rPr>
          <w:rFonts w:hint="eastAsia" w:ascii="宋体" w:hAnsi="宋体" w:cs="宋体"/>
          <w:color w:val="auto"/>
          <w:sz w:val="22"/>
          <w:highlight w:val="none"/>
        </w:rPr>
        <w:t>所有，通过校园一卡通（学校免费提供刷卡机）收取的药品费用</w:t>
      </w:r>
      <w:r>
        <w:rPr>
          <w:rFonts w:hint="eastAsia" w:ascii="宋体" w:hAnsi="宋体" w:cs="宋体"/>
          <w:color w:val="auto"/>
          <w:sz w:val="22"/>
        </w:rPr>
        <w:t>，款项在下月15日前由中标人开具发票向采购人申请支付。</w:t>
      </w:r>
    </w:p>
    <w:p>
      <w:pPr>
        <w:spacing w:line="360" w:lineRule="exact"/>
        <w:ind w:firstLine="440" w:firstLineChars="200"/>
        <w:rPr>
          <w:rFonts w:hint="eastAsia" w:ascii="宋体" w:hAnsi="宋体" w:cs="宋体"/>
          <w:sz w:val="22"/>
        </w:rPr>
      </w:pPr>
      <w:r>
        <w:rPr>
          <w:rFonts w:hint="eastAsia" w:ascii="宋体" w:hAnsi="宋体" w:cs="宋体"/>
          <w:sz w:val="22"/>
        </w:rPr>
        <w:t>6</w:t>
      </w:r>
      <w:r>
        <w:rPr>
          <w:rFonts w:hint="eastAsia" w:ascii="宋体" w:hAnsi="宋体" w:cs="宋体"/>
          <w:sz w:val="22"/>
          <w:lang w:val="en-US" w:eastAsia="zh-CN"/>
        </w:rPr>
        <w:t>.</w:t>
      </w:r>
      <w:r>
        <w:rPr>
          <w:rFonts w:hint="eastAsia" w:ascii="宋体" w:hAnsi="宋体" w:eastAsia="宋体" w:cs="宋体"/>
          <w:b w:val="0"/>
          <w:bCs w:val="0"/>
          <w:color w:val="auto"/>
          <w:sz w:val="22"/>
          <w:szCs w:val="22"/>
          <w:highlight w:val="none"/>
          <w:lang w:val="en-US" w:eastAsia="zh-CN"/>
        </w:rPr>
        <w:t>协助学校做好冬春季呼吸道疾病与夏季肠道疾病的宣传预防工作</w:t>
      </w:r>
      <w:r>
        <w:rPr>
          <w:rFonts w:hint="eastAsia" w:ascii="宋体" w:hAnsi="宋体" w:cs="宋体"/>
          <w:sz w:val="22"/>
        </w:rPr>
        <w:t>。</w:t>
      </w:r>
    </w:p>
    <w:p>
      <w:pPr>
        <w:spacing w:line="360" w:lineRule="exact"/>
        <w:ind w:firstLine="440" w:firstLineChars="200"/>
        <w:rPr>
          <w:rFonts w:hint="eastAsia" w:ascii="宋体" w:hAnsi="宋体" w:cs="宋体"/>
          <w:sz w:val="22"/>
        </w:rPr>
      </w:pPr>
      <w:r>
        <w:rPr>
          <w:rFonts w:hint="eastAsia" w:ascii="宋体" w:hAnsi="宋体" w:cs="宋体"/>
          <w:sz w:val="22"/>
        </w:rPr>
        <w:t>7.使用电子病历系统记录诊疗信息，并做好电子化信息存档。</w:t>
      </w:r>
    </w:p>
    <w:p>
      <w:pPr>
        <w:spacing w:line="360" w:lineRule="exact"/>
        <w:ind w:firstLine="440" w:firstLineChars="200"/>
        <w:rPr>
          <w:rFonts w:hint="eastAsia" w:ascii="宋体" w:hAnsi="宋体" w:cs="宋体"/>
          <w:color w:val="000000"/>
          <w:sz w:val="22"/>
        </w:rPr>
      </w:pPr>
      <w:r>
        <w:rPr>
          <w:rFonts w:hint="eastAsia" w:ascii="宋体" w:hAnsi="宋体" w:cs="宋体"/>
          <w:color w:val="000000"/>
          <w:sz w:val="22"/>
        </w:rPr>
        <w:t>8.采购人投入装修、办公设备、仪器供承包单位使用（见附表1）</w:t>
      </w:r>
    </w:p>
    <w:p>
      <w:pPr>
        <w:spacing w:line="360" w:lineRule="exact"/>
        <w:rPr>
          <w:rFonts w:hint="eastAsia" w:ascii="宋体" w:hAnsi="宋体" w:cs="宋体"/>
          <w:b/>
          <w:bCs/>
          <w:color w:val="000000"/>
          <w:sz w:val="22"/>
        </w:rPr>
      </w:pPr>
      <w:r>
        <w:rPr>
          <w:rFonts w:hint="eastAsia" w:ascii="宋体" w:hAnsi="宋体" w:cs="宋体"/>
          <w:b/>
          <w:bCs/>
          <w:color w:val="000000"/>
          <w:sz w:val="22"/>
        </w:rPr>
        <w:t>三、相关附表</w:t>
      </w:r>
      <w:bookmarkStart w:id="4" w:name="_GoBack"/>
      <w:bookmarkEnd w:id="4"/>
    </w:p>
    <w:p>
      <w:pPr>
        <w:spacing w:line="360" w:lineRule="exact"/>
        <w:rPr>
          <w:rFonts w:hint="eastAsia" w:ascii="宋体" w:hAnsi="宋体" w:cs="宋体"/>
          <w:b/>
          <w:bCs/>
          <w:color w:val="000000"/>
          <w:sz w:val="22"/>
        </w:rPr>
      </w:pPr>
      <w:r>
        <w:rPr>
          <w:rFonts w:hint="eastAsia" w:ascii="宋体" w:hAnsi="宋体" w:cs="宋体"/>
          <w:b/>
          <w:bCs/>
          <w:color w:val="000000"/>
          <w:sz w:val="22"/>
        </w:rPr>
        <w:t>附表1：</w:t>
      </w:r>
    </w:p>
    <w:p>
      <w:pPr>
        <w:pStyle w:val="10"/>
        <w:jc w:val="center"/>
        <w:rPr>
          <w:rFonts w:hint="eastAsia" w:ascii="宋体" w:hAnsi="宋体" w:cs="宋体"/>
        </w:rPr>
      </w:pPr>
      <w:r>
        <w:rPr>
          <w:rFonts w:hint="eastAsia" w:ascii="宋体" w:hAnsi="宋体" w:cs="宋体"/>
          <w:color w:val="000000"/>
          <w:sz w:val="22"/>
          <w:szCs w:val="22"/>
        </w:rPr>
        <w:t>采购人投入装修、办公设备、仪器</w:t>
      </w:r>
    </w:p>
    <w:tbl>
      <w:tblPr>
        <w:tblStyle w:val="7"/>
        <w:tblW w:w="4998" w:type="pct"/>
        <w:jc w:val="center"/>
        <w:tblLayout w:type="autofit"/>
        <w:tblCellMar>
          <w:top w:w="0" w:type="dxa"/>
          <w:left w:w="108" w:type="dxa"/>
          <w:bottom w:w="0" w:type="dxa"/>
          <w:right w:w="108" w:type="dxa"/>
        </w:tblCellMar>
      </w:tblPr>
      <w:tblGrid>
        <w:gridCol w:w="664"/>
        <w:gridCol w:w="2349"/>
        <w:gridCol w:w="2986"/>
        <w:gridCol w:w="933"/>
        <w:gridCol w:w="830"/>
        <w:gridCol w:w="1116"/>
      </w:tblGrid>
      <w:tr>
        <w:tblPrEx>
          <w:tblCellMar>
            <w:top w:w="0" w:type="dxa"/>
            <w:left w:w="108" w:type="dxa"/>
            <w:bottom w:w="0" w:type="dxa"/>
            <w:right w:w="108" w:type="dxa"/>
          </w:tblCellMar>
        </w:tblPrEx>
        <w:trPr>
          <w:trHeight w:val="300" w:hRule="atLeast"/>
          <w:jc w:val="center"/>
        </w:trPr>
        <w:tc>
          <w:tcPr>
            <w:tcW w:w="374" w:type="pct"/>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序号</w:t>
            </w:r>
          </w:p>
        </w:tc>
        <w:tc>
          <w:tcPr>
            <w:tcW w:w="1322"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w:t>
            </w:r>
            <w:r>
              <w:rPr>
                <w:rStyle w:val="11"/>
                <w:sz w:val="22"/>
                <w:szCs w:val="22"/>
                <w:lang w:bidi="ar"/>
              </w:rPr>
              <w:t>资产名称</w:t>
            </w:r>
          </w:p>
        </w:tc>
        <w:tc>
          <w:tcPr>
            <w:tcW w:w="168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型号规格</w:t>
            </w:r>
          </w:p>
        </w:tc>
        <w:tc>
          <w:tcPr>
            <w:tcW w:w="525" w:type="pct"/>
            <w:tcBorders>
              <w:top w:val="single" w:color="000000" w:sz="8" w:space="0"/>
              <w:left w:val="nil"/>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单位</w:t>
            </w:r>
          </w:p>
        </w:tc>
        <w:tc>
          <w:tcPr>
            <w:tcW w:w="467"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628" w:type="pct"/>
            <w:tcBorders>
              <w:top w:val="single" w:color="auto" w:sz="4" w:space="0"/>
              <w:left w:val="nil"/>
              <w:bottom w:val="single" w:color="auto" w:sz="4" w:space="0"/>
              <w:right w:val="single" w:color="auto" w:sz="4" w:space="0"/>
            </w:tcBorders>
            <w:noWrap w:val="0"/>
            <w:vAlign w:val="center"/>
          </w:tcPr>
          <w:p>
            <w:pPr>
              <w:widowControl/>
              <w:spacing w:line="360" w:lineRule="exact"/>
              <w:jc w:val="left"/>
              <w:textAlignment w:val="center"/>
              <w:rPr>
                <w:rFonts w:hint="eastAsia" w:ascii="宋体" w:hAnsi="宋体" w:cs="宋体"/>
                <w:color w:val="000000"/>
                <w:sz w:val="22"/>
              </w:rPr>
            </w:pPr>
            <w:r>
              <w:rPr>
                <w:rFonts w:hint="eastAsia" w:ascii="宋体" w:hAnsi="宋体" w:cs="宋体"/>
                <w:color w:val="000000"/>
                <w:kern w:val="0"/>
                <w:sz w:val="22"/>
                <w:lang w:bidi="ar"/>
              </w:rPr>
              <w:t>存放点</w:t>
            </w: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CR储槽</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伸缩型23</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医务室</w:t>
            </w: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小号</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中号</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8寸型无孔230*150*65</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CR药膏罐</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90*90</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CR药膏罐</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80*80mm</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CR针管盒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中134*50*39</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9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1805*680*800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办公桌</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木制140*70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不锈钢煤电手提灭菌器</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TXQ-9045-280SA</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不锈钢双门器械柜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I型900X</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不锈钢双门药品柜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II型1100X450</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不锈钢四门器械柜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II型1100X450</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单向移门工作台</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1200*800*700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电脑</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HP285G1/AMDA10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电子体重秤</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HCS-200-RT</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对数视力表灯</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14cm</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20cm</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红外线电子耳温仪</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6520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KFR-35GW/06NCA</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KFR-36GW/DY-DA400</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口表消毒盒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塑料10*15cm</w:t>
            </w: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3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手术医凳软垫</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2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322"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体温计口表</w:t>
            </w:r>
          </w:p>
        </w:tc>
        <w:tc>
          <w:tcPr>
            <w:tcW w:w="1681"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 WII</w:t>
            </w:r>
          </w:p>
        </w:tc>
        <w:tc>
          <w:tcPr>
            <w:tcW w:w="525"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628" w:type="pct"/>
            <w:vMerge w:val="continue"/>
            <w:tcBorders>
              <w:top w:val="single" w:color="auto" w:sz="4" w:space="0"/>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322"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血压计保健盒</w:t>
            </w:r>
          </w:p>
        </w:tc>
        <w:tc>
          <w:tcPr>
            <w:tcW w:w="1681"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A型2XI家庭套装</w:t>
            </w:r>
          </w:p>
        </w:tc>
        <w:tc>
          <w:tcPr>
            <w:tcW w:w="525"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套</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322" w:type="pct"/>
            <w:tcBorders>
              <w:top w:val="single" w:color="000000" w:sz="8" w:space="0"/>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医用出诊箱</w:t>
            </w:r>
          </w:p>
        </w:tc>
        <w:tc>
          <w:tcPr>
            <w:tcW w:w="1681" w:type="pct"/>
            <w:tcBorders>
              <w:top w:val="nil"/>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14"铝合金</w:t>
            </w:r>
          </w:p>
        </w:tc>
        <w:tc>
          <w:tcPr>
            <w:tcW w:w="525"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322" w:type="pct"/>
            <w:tcBorders>
              <w:top w:val="nil"/>
              <w:left w:val="nil"/>
              <w:bottom w:val="nil"/>
              <w:right w:val="nil"/>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医用供氧器</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sz w:val="22"/>
              </w:rPr>
            </w:pPr>
          </w:p>
        </w:tc>
        <w:tc>
          <w:tcPr>
            <w:tcW w:w="525"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台</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322"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圆凳</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YYY-91-C铁质</w:t>
            </w:r>
          </w:p>
        </w:tc>
        <w:tc>
          <w:tcPr>
            <w:tcW w:w="525" w:type="pct"/>
            <w:tcBorders>
              <w:top w:val="single" w:color="000000" w:sz="8" w:space="0"/>
              <w:left w:val="nil"/>
              <w:bottom w:val="single" w:color="000000" w:sz="8" w:space="0"/>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322"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诊查床</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1900X625X620</w:t>
            </w:r>
          </w:p>
        </w:tc>
        <w:tc>
          <w:tcPr>
            <w:tcW w:w="525" w:type="pct"/>
            <w:tcBorders>
              <w:top w:val="nil"/>
              <w:left w:val="nil"/>
              <w:bottom w:val="single" w:color="000000" w:sz="8" w:space="0"/>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322"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紫外线灯架</w:t>
            </w:r>
          </w:p>
        </w:tc>
        <w:tc>
          <w:tcPr>
            <w:tcW w:w="1681" w:type="pct"/>
            <w:tcBorders>
              <w:top w:val="nil"/>
              <w:left w:val="single" w:color="000000" w:sz="8" w:space="0"/>
              <w:bottom w:val="single" w:color="000000" w:sz="8" w:space="0"/>
              <w:right w:val="single" w:color="000000" w:sz="8" w:space="0"/>
            </w:tcBorders>
            <w:shd w:val="clear" w:color="auto" w:fill="auto"/>
            <w:noWrap w:val="0"/>
            <w:vAlign w:val="bottom"/>
          </w:tcPr>
          <w:p>
            <w:pPr>
              <w:widowControl/>
              <w:spacing w:line="360" w:lineRule="exact"/>
              <w:jc w:val="center"/>
              <w:textAlignment w:val="bottom"/>
              <w:rPr>
                <w:rFonts w:hint="eastAsia" w:ascii="宋体" w:hAnsi="宋体" w:cs="宋体"/>
                <w:color w:val="000000"/>
                <w:sz w:val="22"/>
              </w:rPr>
            </w:pPr>
            <w:r>
              <w:rPr>
                <w:rFonts w:hint="eastAsia" w:ascii="宋体" w:hAnsi="宋体" w:cs="宋体"/>
                <w:color w:val="000000"/>
                <w:kern w:val="0"/>
                <w:sz w:val="22"/>
                <w:lang w:bidi="ar"/>
              </w:rPr>
              <w:t>30W</w:t>
            </w:r>
          </w:p>
        </w:tc>
        <w:tc>
          <w:tcPr>
            <w:tcW w:w="525" w:type="pct"/>
            <w:tcBorders>
              <w:top w:val="nil"/>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nil"/>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322"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紫外线杀菌灯管石英</w:t>
            </w:r>
          </w:p>
        </w:tc>
        <w:tc>
          <w:tcPr>
            <w:tcW w:w="1681" w:type="pct"/>
            <w:tcBorders>
              <w:top w:val="nil"/>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36"30W</w:t>
            </w:r>
          </w:p>
        </w:tc>
        <w:tc>
          <w:tcPr>
            <w:tcW w:w="525" w:type="pct"/>
            <w:tcBorders>
              <w:top w:val="nil"/>
              <w:left w:val="nil"/>
              <w:bottom w:val="single" w:color="auto" w:sz="4"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紫外线推车</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药品阴凉柜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r>
              <w:rPr>
                <w:rFonts w:hint="eastAsia" w:ascii="宋体" w:hAnsi="宋体" w:cs="宋体"/>
                <w:color w:val="000000"/>
                <w:sz w:val="22"/>
              </w:rPr>
              <w:t>鼎驰FL-400  400L</w:t>
            </w: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3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除颤仪</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p>
        </w:tc>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8" w:type="pct"/>
            <w:vMerge w:val="continue"/>
            <w:tcBorders>
              <w:left w:val="single" w:color="000000" w:sz="4" w:space="0"/>
              <w:bottom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bl>
    <w:p>
      <w:pPr>
        <w:widowControl/>
        <w:spacing w:line="360" w:lineRule="exact"/>
        <w:jc w:val="left"/>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注：本清单所列内容仅供参考，所有资产的具体型号、规格及数量最终以实际交付清单为准。</w:t>
      </w:r>
    </w:p>
    <w:p>
      <w:pPr>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rPr>
        <w:t>四、未涉及部分以第三部分 拟签订的合同文本约定为准</w:t>
      </w:r>
    </w:p>
    <w:p>
      <w:pPr>
        <w:snapToGrid w:val="0"/>
        <w:spacing w:line="360" w:lineRule="exact"/>
        <w:rPr>
          <w:rFonts w:hint="eastAsia" w:ascii="宋体" w:hAnsi="宋体" w:cs="宋体"/>
          <w:b/>
          <w:bCs/>
          <w:spacing w:val="-6"/>
          <w:sz w:val="22"/>
        </w:rPr>
      </w:pPr>
      <w:r>
        <w:rPr>
          <w:rFonts w:hint="eastAsia" w:ascii="宋体" w:hAnsi="宋体" w:cs="宋体"/>
          <w:b/>
          <w:bCs/>
          <w:spacing w:val="-6"/>
          <w:sz w:val="22"/>
        </w:rPr>
        <w:t>五、其他</w:t>
      </w:r>
    </w:p>
    <w:p>
      <w:pPr>
        <w:numPr>
          <w:ilvl w:val="0"/>
          <w:numId w:val="3"/>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带“▲且加下划线”的有关条款为实质性条款，投标人必须做出实质性响应，不允许负偏离（负偏离系指低于采购需求），出现负偏离的将导致投标无效。</w:t>
      </w:r>
    </w:p>
    <w:p>
      <w:pPr>
        <w:numPr>
          <w:ilvl w:val="0"/>
          <w:numId w:val="3"/>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如采购需求中未特别注明需执行的国家相关标准、行业标准、地方标准或者其他标准、规范，则统一执行最新标准、规范。</w:t>
      </w:r>
    </w:p>
    <w:p>
      <w:pPr>
        <w:numPr>
          <w:ilvl w:val="0"/>
          <w:numId w:val="3"/>
        </w:numPr>
        <w:snapToGrid w:val="0"/>
        <w:spacing w:line="360" w:lineRule="exact"/>
        <w:jc w:val="left"/>
        <w:rPr>
          <w:rFonts w:hint="eastAsia" w:ascii="宋体" w:hAnsi="宋体" w:cs="宋体"/>
          <w:b/>
          <w:sz w:val="22"/>
        </w:rPr>
      </w:pPr>
      <w:r>
        <w:rPr>
          <w:rFonts w:hint="eastAsia" w:ascii="宋体" w:hAnsi="宋体" w:cs="宋体"/>
          <w:b/>
          <w:bCs/>
          <w:spacing w:val="-6"/>
          <w:sz w:val="22"/>
        </w:rPr>
        <w:t>采购需求中需要提供的证明材料有有效期的必须在有效期内，否则视为未提供。</w:t>
      </w:r>
    </w:p>
    <w:p>
      <w:pPr>
        <w:pStyle w:val="10"/>
        <w:rPr>
          <w:rFonts w:hint="eastAsia" w:ascii="宋体" w:hAnsi="宋体" w:cs="宋体"/>
          <w:sz w:val="22"/>
          <w:szCs w:val="22"/>
        </w:rPr>
      </w:pPr>
    </w:p>
    <w:p/>
    <w:sectPr>
      <w:pgSz w:w="11906" w:h="16838"/>
      <w:pgMar w:top="1440" w:right="180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38F3E628"/>
    <w:multiLevelType w:val="singleLevel"/>
    <w:tmpl w:val="38F3E628"/>
    <w:lvl w:ilvl="0" w:tentative="0">
      <w:start w:val="1"/>
      <w:numFmt w:val="decimal"/>
      <w:suff w:val="nothing"/>
      <w:lvlText w:val="%1．"/>
      <w:lvlJc w:val="left"/>
      <w:pPr>
        <w:ind w:left="20" w:firstLine="400"/>
      </w:pPr>
      <w:rPr>
        <w:rFonts w:hint="default"/>
      </w:rPr>
    </w:lvl>
  </w:abstractNum>
  <w:abstractNum w:abstractNumId="2">
    <w:nsid w:val="4802C173"/>
    <w:multiLevelType w:val="singleLevel"/>
    <w:tmpl w:val="4802C173"/>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00EB"/>
    <w:rsid w:val="11973855"/>
    <w:rsid w:val="1249710A"/>
    <w:rsid w:val="237627E0"/>
    <w:rsid w:val="2FE64868"/>
    <w:rsid w:val="38CF70FA"/>
    <w:rsid w:val="38D15786"/>
    <w:rsid w:val="3C5F6574"/>
    <w:rsid w:val="3E253E1D"/>
    <w:rsid w:val="41A0269E"/>
    <w:rsid w:val="532E47E6"/>
    <w:rsid w:val="55447C51"/>
    <w:rsid w:val="6E61619A"/>
    <w:rsid w:val="73D7455A"/>
    <w:rsid w:val="7566608E"/>
    <w:rsid w:val="791901E6"/>
    <w:rsid w:val="7B083BD7"/>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Plain Text"/>
    <w:basedOn w:val="1"/>
    <w:next w:val="6"/>
    <w:qFormat/>
    <w:uiPriority w:val="0"/>
    <w:pPr>
      <w:widowControl/>
      <w:overflowPunct w:val="0"/>
      <w:autoSpaceDE w:val="0"/>
      <w:autoSpaceDN w:val="0"/>
      <w:adjustRightInd w:val="0"/>
      <w:jc w:val="left"/>
      <w:textAlignment w:val="baseline"/>
    </w:pPr>
    <w:rPr>
      <w:rFonts w:ascii="宋体" w:hAnsi="Courier New"/>
      <w:sz w:val="24"/>
    </w:rPr>
  </w:style>
  <w:style w:type="paragraph" w:styleId="6">
    <w:name w:val="toc 2"/>
    <w:basedOn w:val="1"/>
    <w:next w:val="1"/>
    <w:qFormat/>
    <w:uiPriority w:val="39"/>
    <w:pPr>
      <w:tabs>
        <w:tab w:val="right" w:leader="dot" w:pos="8302"/>
      </w:tabs>
      <w:ind w:leftChars="200"/>
    </w:pPr>
    <w:rPr>
      <w:b/>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无间隔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character" w:customStyle="1" w:styleId="11">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2025-11-06T10:42:00Z</dcterms:created>
  <dc:creator>Administrator</dc:creator>
  <cp:lastModifiedBy>浙江乐诚</cp:lastModifiedBy>
  <dcterms:modified xsi:type="dcterms:W3CDTF">2025-12-17T04:26:32Z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7FCF9C3E96854245894C116AA09AC7AF_12</vt:lpwstr>
  </property>
</Properties>
</file>