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ind w:right="14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0" w:line="240" w:lineRule="exact"/>
        <w:ind w:right="142"/>
        <w:rPr>
          <w:rFonts w:ascii="黑体" w:hAnsi="黑体" w:eastAsia="黑体"/>
          <w:spacing w:val="-10"/>
          <w:sz w:val="30"/>
          <w:szCs w:val="30"/>
        </w:rPr>
      </w:pPr>
    </w:p>
    <w:p>
      <w:pPr>
        <w:spacing w:after="0"/>
        <w:ind w:right="142"/>
        <w:jc w:val="center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36"/>
          <w:sz w:val="44"/>
          <w:szCs w:val="44"/>
        </w:rPr>
        <w:t>2022年度温州市龙湾区政府决策咨询研究课题目录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21"/>
        <w:gridCol w:w="760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课题名称</w:t>
            </w:r>
          </w:p>
        </w:tc>
        <w:tc>
          <w:tcPr>
            <w:tcW w:w="76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选题考虑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jc w:val="center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1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pStyle w:val="2"/>
              <w:widowControl w:val="0"/>
              <w:adjustRightInd/>
              <w:snapToGrid/>
              <w:spacing w:after="0" w:line="360" w:lineRule="exact"/>
              <w:ind w:firstLine="0" w:firstLineChars="0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龙湾新能源产业链规划布局与发展途径研究</w:t>
            </w:r>
          </w:p>
        </w:tc>
        <w:tc>
          <w:tcPr>
            <w:tcW w:w="7605" w:type="dxa"/>
            <w:noWrap w:val="0"/>
            <w:vAlign w:val="center"/>
          </w:tcPr>
          <w:p>
            <w:pPr>
              <w:pStyle w:val="2"/>
              <w:widowControl w:val="0"/>
              <w:adjustRightInd/>
              <w:snapToGrid/>
              <w:spacing w:after="0" w:line="360" w:lineRule="exact"/>
              <w:ind w:firstLine="520" w:firstLineChars="200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近年来，龙湾区将新能源产业作为战略性新兴产业予以重点发展，相继招引落地瑞浦新能源基地、锂电池新材料产业基地等重点项目，初步形成新能源产业集聚发展的态势。本课题研究要为龙湾努力打造完整的新能源上下游产业链，加快形成产业集群优势，为全区发展低碳经济、实现发展方式转型、助力新能源产业高地建设提供理论与策略支撑。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文本不少于3万字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jc w:val="center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2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温州国家高新区孵化载体建设模式比较研究</w:t>
            </w:r>
          </w:p>
        </w:tc>
        <w:tc>
          <w:tcPr>
            <w:tcW w:w="76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ind w:firstLine="520" w:firstLineChars="200"/>
              <w:jc w:val="both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通过系统研究国内外孵化载体发展趋势与热点，总结国内外优秀孵化载体的典型案例和先进经验，对比分析温州高新区孵化载体发展现状与不足，立足新时期构建良好创新创业生态，提升载体服务水平，培育高成长企业等，对温州高新区提升现有孵化载体发展水平、完善创新创业孵化服务体系、搭建公共技术和资源服务平台等方面提出意见和建议。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文本不少于3万字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0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jc w:val="center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3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普惠金融支持龙湾区共同富裕建设研究</w:t>
            </w:r>
          </w:p>
        </w:tc>
        <w:tc>
          <w:tcPr>
            <w:tcW w:w="760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ind w:firstLine="520" w:firstLineChars="200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贴近当前时事热点，立足近年来龙湾快速增长的经济金融体量，积极探索普惠金融改革与发展，以更高质量的金融服务为共同富裕示范区龙湾样板贡献力量。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widowControl w:val="0"/>
              <w:adjustRightInd/>
              <w:snapToGrid/>
              <w:spacing w:line="360" w:lineRule="exact"/>
              <w:rPr>
                <w:rFonts w:ascii="仿宋_GB2312" w:hAnsi="Calibri" w:eastAsia="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pacing w:val="-10"/>
                <w:kern w:val="2"/>
                <w:sz w:val="28"/>
                <w:szCs w:val="28"/>
              </w:rPr>
              <w:t>文本不少于3万字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2DC2020D"/>
    <w:rsid w:val="2DC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497</Characters>
  <Lines>0</Lines>
  <Paragraphs>0</Paragraphs>
  <TotalTime>1</TotalTime>
  <ScaleCrop>false</ScaleCrop>
  <LinksUpToDate>false</LinksUpToDate>
  <CharactersWithSpaces>497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2022-06-22T08:01:00Z</dcterms:created>
  <dc:creator>何智</dc:creator>
  <cp:lastModifiedBy>何智</cp:lastModifiedBy>
  <dcterms:modified xsi:type="dcterms:W3CDTF">2022-06-22T08:05:16Z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896B2F68E63B416982D23263987B704B</vt:lpwstr>
  </property>
</Properties>
</file>