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FC86B">
      <w:pPr>
        <w:snapToGrid w:val="0"/>
        <w:spacing w:line="400" w:lineRule="exact"/>
        <w:jc w:val="center"/>
        <w:rPr>
          <w:rFonts w:hint="eastAsia" w:ascii="宋体" w:hAnsi="宋体" w:eastAsia="宋体" w:cs="宋体"/>
          <w:b/>
          <w:color w:val="auto"/>
          <w:sz w:val="32"/>
          <w:highlight w:val="none"/>
        </w:rPr>
      </w:pPr>
      <w:bookmarkStart w:id="0" w:name="_Toc3012"/>
      <w:r>
        <w:rPr>
          <w:rFonts w:hint="eastAsia" w:ascii="宋体" w:hAnsi="宋体" w:eastAsia="宋体" w:cs="宋体"/>
          <w:b/>
          <w:color w:val="auto"/>
          <w:sz w:val="32"/>
          <w:highlight w:val="none"/>
        </w:rPr>
        <w:t>采购需求</w:t>
      </w:r>
      <w:bookmarkEnd w:id="0"/>
    </w:p>
    <w:p w14:paraId="1D92E49D">
      <w:pPr>
        <w:pStyle w:val="3"/>
        <w:keepNext w:val="0"/>
        <w:keepLines w:val="0"/>
        <w:pageBreakBefore w:val="0"/>
        <w:kinsoku/>
        <w:wordWrap/>
        <w:topLinePunct w:val="0"/>
        <w:bidi w:val="0"/>
        <w:snapToGrid w:val="0"/>
        <w:spacing w:line="360" w:lineRule="exact"/>
        <w:outlineLvl w:val="0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bookmarkStart w:id="1" w:name="_Toc29640"/>
      <w:r>
        <w:rPr>
          <w:rFonts w:hint="eastAsia" w:ascii="宋体" w:hAnsi="宋体" w:eastAsia="宋体" w:cs="宋体"/>
          <w:b/>
          <w:bCs/>
          <w:color w:val="auto"/>
          <w:sz w:val="22"/>
          <w:highlight w:val="none"/>
        </w:rPr>
        <w:t>一</w:t>
      </w:r>
      <w:r>
        <w:rPr>
          <w:rFonts w:hint="eastAsia" w:ascii="宋体" w:hAnsi="宋体" w:eastAsia="宋体" w:cs="宋体"/>
          <w:b/>
          <w:bCs/>
          <w:color w:val="auto"/>
          <w:sz w:val="22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2"/>
          <w:highlight w:val="none"/>
        </w:rPr>
        <w:t>采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购清单</w:t>
      </w:r>
      <w:bookmarkEnd w:id="1"/>
      <w:bookmarkStart w:id="4" w:name="_GoBack"/>
      <w:bookmarkEnd w:id="4"/>
    </w:p>
    <w:tbl>
      <w:tblPr>
        <w:tblStyle w:val="5"/>
        <w:tblW w:w="93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2021"/>
        <w:gridCol w:w="1729"/>
        <w:gridCol w:w="1273"/>
        <w:gridCol w:w="1169"/>
        <w:gridCol w:w="2477"/>
      </w:tblGrid>
      <w:tr w14:paraId="24284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47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标项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E1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0F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数量 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B8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固定单价(元)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B6A5E">
            <w:pPr>
              <w:spacing w:line="37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预算金额（元）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D6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备注</w:t>
            </w:r>
          </w:p>
        </w:tc>
      </w:tr>
      <w:tr w14:paraId="68CDA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F1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5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zh-CN"/>
              </w:rPr>
              <w:t>2025年教职工登山工会活动纪念品采购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85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约1130份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2E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100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BF4BE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约113000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A3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2"/>
                <w:highlight w:val="none"/>
              </w:rPr>
              <w:t>实际金额按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固定单价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2"/>
                <w:highlight w:val="none"/>
              </w:rPr>
              <w:t>*实际购买份数结算</w:t>
            </w:r>
          </w:p>
        </w:tc>
      </w:tr>
    </w:tbl>
    <w:p w14:paraId="72CEAE36">
      <w:pPr>
        <w:keepNext w:val="0"/>
        <w:keepLines w:val="0"/>
        <w:pageBreakBefore w:val="0"/>
        <w:kinsoku/>
        <w:wordWrap/>
        <w:topLinePunct w:val="0"/>
        <w:bidi w:val="0"/>
        <w:snapToGrid w:val="0"/>
        <w:spacing w:line="360" w:lineRule="exact"/>
        <w:outlineLvl w:val="0"/>
        <w:rPr>
          <w:rFonts w:hint="eastAsia" w:ascii="宋体" w:hAnsi="宋体" w:eastAsia="宋体" w:cs="宋体"/>
          <w:b/>
          <w:bCs/>
          <w:color w:val="auto"/>
          <w:spacing w:val="-6"/>
          <w:sz w:val="22"/>
          <w:szCs w:val="22"/>
          <w:highlight w:val="none"/>
        </w:rPr>
      </w:pPr>
      <w:bookmarkStart w:id="2" w:name="_Toc11956"/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二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pacing w:val="-6"/>
          <w:sz w:val="22"/>
          <w:szCs w:val="22"/>
          <w:highlight w:val="none"/>
        </w:rPr>
        <w:t>商务要求（技术要求里另有注明的以技术要求为准）</w:t>
      </w:r>
      <w:bookmarkEnd w:id="2"/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7204"/>
      </w:tblGrid>
      <w:tr w14:paraId="72C8C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70D8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付款方式</w:t>
            </w:r>
          </w:p>
        </w:tc>
        <w:tc>
          <w:tcPr>
            <w:tcW w:w="4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369CA"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360" w:lineRule="exact"/>
              <w:rPr>
                <w:rFonts w:hint="eastAsia" w:ascii="宋体" w:hAnsi="宋体" w:eastAsia="宋体" w:cs="宋体"/>
                <w:color w:val="auto"/>
                <w:sz w:val="22"/>
                <w:highlight w:val="none"/>
                <w:u w:val="single"/>
              </w:rPr>
            </w:pPr>
            <w:bookmarkStart w:id="3" w:name="OLE_LINK4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u w:val="single"/>
              </w:rPr>
              <w:t>▲</w:t>
            </w:r>
            <w:bookmarkEnd w:id="3"/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u w:val="single"/>
              </w:rPr>
              <w:t>一、履约保证金支付</w:t>
            </w:r>
          </w:p>
          <w:p w14:paraId="7E7F7BAD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u w:val="single"/>
                <w:lang w:val="en-US" w:eastAsia="zh-CN"/>
              </w:rPr>
              <w:t>本项目不收取履约保证金</w:t>
            </w:r>
          </w:p>
          <w:p w14:paraId="603984B8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2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u w:val="single"/>
              </w:rPr>
              <w:t>▲二、合同金额结算及支付方式：</w:t>
            </w:r>
          </w:p>
          <w:p w14:paraId="1568FBAC"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360" w:lineRule="exact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u w:val="single"/>
              </w:rPr>
              <w:t>合同签订后，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u w:val="single"/>
                <w:lang w:val="en-US" w:eastAsia="zh-CN"/>
              </w:rPr>
              <w:t>卖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u w:val="single"/>
              </w:rPr>
              <w:t>方完成全部供货、分发等服务后并通过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u w:val="single"/>
                <w:lang w:val="en-US" w:eastAsia="zh-CN"/>
              </w:rPr>
              <w:t>买方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u w:val="single"/>
              </w:rPr>
              <w:t>验收，根据买方和卖方双方确认的清单进行结算（卖方开具相应金额的增值税正式发票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single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single"/>
                <w:lang w:eastAsia="zh-CN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single"/>
              </w:rPr>
              <w:t>报销后15个工作日内，买方向卖方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single"/>
                <w:lang w:eastAsia="zh-CN"/>
              </w:rPr>
              <w:t>支付已确认的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>费用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single"/>
                <w:lang w:eastAsia="zh-CN"/>
              </w:rPr>
              <w:t>）。</w:t>
            </w:r>
          </w:p>
        </w:tc>
      </w:tr>
      <w:tr w14:paraId="4C348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16A0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sz w:val="22"/>
                <w:szCs w:val="22"/>
                <w:highlight w:val="none"/>
                <w:u w:val="none"/>
              </w:rPr>
              <w:t>交付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sz w:val="22"/>
                <w:szCs w:val="22"/>
                <w:highlight w:val="none"/>
                <w:u w:val="none"/>
                <w:lang w:val="en-US" w:eastAsia="zh-CN"/>
              </w:rPr>
              <w:t>要求</w:t>
            </w:r>
          </w:p>
        </w:tc>
        <w:tc>
          <w:tcPr>
            <w:tcW w:w="4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2364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/>
              </w:rPr>
              <w:t>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/>
              </w:rPr>
              <w:t>要求和份数于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合同签订后7天内送到学校指定地点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/>
              </w:rPr>
              <w:t>。</w:t>
            </w:r>
          </w:p>
        </w:tc>
      </w:tr>
      <w:tr w14:paraId="6DF66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0E15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sz w:val="22"/>
                <w:szCs w:val="22"/>
                <w:highlight w:val="none"/>
                <w:u w:val="none"/>
                <w:lang w:val="en-US" w:eastAsia="zh-CN"/>
              </w:rPr>
              <w:t>质保期</w:t>
            </w:r>
          </w:p>
        </w:tc>
        <w:tc>
          <w:tcPr>
            <w:tcW w:w="4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4C8A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u w:val="none"/>
                <w:lang w:val="en-US" w:eastAsia="zh-CN"/>
              </w:rPr>
              <w:t>自验收合格之日起1年（质保期内出现质量问题的只换不修）</w:t>
            </w:r>
          </w:p>
        </w:tc>
      </w:tr>
      <w:tr w14:paraId="019F3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E6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sz w:val="22"/>
                <w:szCs w:val="22"/>
                <w:highlight w:val="none"/>
              </w:rPr>
              <w:t>服务效率</w:t>
            </w:r>
          </w:p>
        </w:tc>
        <w:tc>
          <w:tcPr>
            <w:tcW w:w="4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E5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接到采购人电话后，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30分钟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内响应。</w:t>
            </w:r>
          </w:p>
        </w:tc>
      </w:tr>
    </w:tbl>
    <w:p w14:paraId="0E4EB7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spacing w:val="-6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6"/>
          <w:sz w:val="22"/>
          <w:szCs w:val="22"/>
          <w:highlight w:val="none"/>
          <w:lang w:eastAsia="zh-CN"/>
        </w:rPr>
        <w:t>技术</w:t>
      </w:r>
      <w:r>
        <w:rPr>
          <w:rFonts w:hint="eastAsia" w:ascii="宋体" w:hAnsi="宋体" w:eastAsia="宋体" w:cs="宋体"/>
          <w:b/>
          <w:bCs/>
          <w:color w:val="auto"/>
          <w:spacing w:val="-6"/>
          <w:sz w:val="22"/>
          <w:szCs w:val="22"/>
          <w:highlight w:val="none"/>
        </w:rPr>
        <w:t>要求</w:t>
      </w:r>
    </w:p>
    <w:p w14:paraId="26A24FD8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360" w:lineRule="exact"/>
        <w:ind w:leftChars="200"/>
        <w:jc w:val="left"/>
        <w:rPr>
          <w:rFonts w:hint="eastAsia" w:ascii="宋体" w:hAnsi="宋体" w:eastAsia="宋体" w:cs="宋体"/>
          <w:color w:val="auto"/>
          <w:sz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2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2"/>
          <w:highlight w:val="none"/>
          <w:lang w:val="en-US" w:eastAsia="zh-CN"/>
        </w:rPr>
        <w:t>供货清单</w:t>
      </w:r>
    </w:p>
    <w:tbl>
      <w:tblPr>
        <w:tblStyle w:val="6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180"/>
        <w:gridCol w:w="5272"/>
        <w:gridCol w:w="1387"/>
      </w:tblGrid>
      <w:tr w14:paraId="615F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 w:val="0"/>
            <w:vAlign w:val="center"/>
          </w:tcPr>
          <w:p w14:paraId="2E6B339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693" w:type="pct"/>
            <w:noWrap w:val="0"/>
            <w:vAlign w:val="center"/>
          </w:tcPr>
          <w:p w14:paraId="049BEA0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3095" w:type="pct"/>
            <w:noWrap w:val="0"/>
            <w:vAlign w:val="center"/>
          </w:tcPr>
          <w:p w14:paraId="2FB956A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技术规格参数</w:t>
            </w:r>
          </w:p>
        </w:tc>
        <w:tc>
          <w:tcPr>
            <w:tcW w:w="814" w:type="pct"/>
            <w:noWrap w:val="0"/>
            <w:vAlign w:val="center"/>
          </w:tcPr>
          <w:p w14:paraId="155BE12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  <w:t>参考品牌</w:t>
            </w:r>
          </w:p>
        </w:tc>
      </w:tr>
      <w:tr w14:paraId="4B7C9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 w:val="0"/>
            <w:vAlign w:val="center"/>
          </w:tcPr>
          <w:p w14:paraId="359DA7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3" w:type="pct"/>
            <w:noWrap w:val="0"/>
            <w:vAlign w:val="center"/>
          </w:tcPr>
          <w:p w14:paraId="62C25A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电热杯</w:t>
            </w:r>
          </w:p>
        </w:tc>
        <w:tc>
          <w:tcPr>
            <w:tcW w:w="3095" w:type="pct"/>
            <w:noWrap w:val="0"/>
            <w:vAlign w:val="center"/>
          </w:tcPr>
          <w:p w14:paraId="7D64F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1.额定功率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300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val="en-US" w:eastAsia="zh-CN" w:bidi="ar"/>
              </w:rPr>
              <w:t>W-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550W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；</w:t>
            </w:r>
          </w:p>
          <w:p w14:paraId="03DAB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2.额定电压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220V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；</w:t>
            </w:r>
          </w:p>
          <w:p w14:paraId="33124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3.产品容量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750mL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；</w:t>
            </w:r>
          </w:p>
          <w:p w14:paraId="0BE26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4.材质要求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内胆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采用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食品接触级316不锈钢，杯身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采用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304不锈钢，杯盖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采用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食品级PP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材质，密封部件为食品级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硅胶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；</w:t>
            </w:r>
          </w:p>
          <w:p w14:paraId="56538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5.安全功能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防干烧保护、过温保护、漏电保护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；</w:t>
            </w:r>
          </w:p>
          <w:p w14:paraId="2A099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6.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u w:val="single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u w:val="single"/>
                <w:lang w:bidi="ar"/>
              </w:rPr>
              <w:t>认证要求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u w:val="single"/>
                <w:lang w:eastAsia="zh-CN" w:bidi="ar"/>
              </w:rPr>
              <w:t>：必须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u w:val="single"/>
                <w:lang w:bidi="ar"/>
              </w:rPr>
              <w:t>通过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u w:val="single"/>
                <w:lang w:eastAsia="zh-CN" w:bidi="ar"/>
              </w:rPr>
              <w:t>中国强制性产品认证（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u w:val="single"/>
                <w:lang w:val="en-US" w:eastAsia="zh-CN" w:bidi="ar"/>
              </w:rPr>
              <w:t>3C认证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u w:val="singl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u w:val="single"/>
                <w:lang w:bidi="ar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u w:val="single"/>
                <w:lang w:eastAsia="zh-CN" w:bidi="ar"/>
              </w:rPr>
              <w:t>在投标文件中提供认证证书复印件；</w:t>
            </w:r>
          </w:p>
          <w:p w14:paraId="50AEE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7.操作方式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触控操作，带 LED状态显示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；</w:t>
            </w:r>
          </w:p>
          <w:p w14:paraId="78CA3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8.便携性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机身尺寸≤96×90×230 mm，重量≤0.66kg，支持防漏密封（倒置不漏水）、底部防溅水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；</w:t>
            </w:r>
          </w:p>
          <w:p w14:paraId="5A793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9.外观要求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无毛刺、无划痕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；</w:t>
            </w:r>
          </w:p>
          <w:p w14:paraId="3C96B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10.按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val="en-US"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要求印制或刻制永久LOGO和纪念字在杯体上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。</w:t>
            </w:r>
          </w:p>
        </w:tc>
        <w:tc>
          <w:tcPr>
            <w:tcW w:w="814" w:type="pct"/>
            <w:noWrap w:val="0"/>
            <w:vAlign w:val="center"/>
          </w:tcPr>
          <w:p w14:paraId="63129B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摩动、摩飞、巴森</w:t>
            </w:r>
          </w:p>
        </w:tc>
      </w:tr>
    </w:tbl>
    <w:p w14:paraId="7B615AF7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napToGrid w:val="0"/>
        <w:spacing w:line="360" w:lineRule="exact"/>
        <w:ind w:leftChars="0"/>
        <w:jc w:val="left"/>
        <w:rPr>
          <w:rFonts w:hint="eastAsia" w:ascii="宋体" w:hAnsi="宋体" w:eastAsia="宋体" w:cs="宋体"/>
          <w:color w:val="auto"/>
          <w:sz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highlight w:val="none"/>
          <w:lang w:val="en-US" w:eastAsia="zh-CN"/>
        </w:rPr>
        <w:t>以上供货品牌为参考品牌，投标人可选择同等或以上档次品牌，质量不得低于以上品牌。</w:t>
      </w:r>
    </w:p>
    <w:p w14:paraId="7F54D871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napToGrid w:val="0"/>
        <w:spacing w:line="360" w:lineRule="exact"/>
        <w:ind w:leftChars="0"/>
        <w:jc w:val="left"/>
        <w:rPr>
          <w:rFonts w:hint="eastAsia" w:ascii="宋体" w:hAnsi="宋体" w:eastAsia="宋体" w:cs="宋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u w:val="none"/>
          <w:lang w:val="en-US" w:eastAsia="zh-CN"/>
        </w:rPr>
        <w:t>四、样品要求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3087"/>
        <w:gridCol w:w="1506"/>
        <w:gridCol w:w="1181"/>
        <w:gridCol w:w="1317"/>
      </w:tblGrid>
      <w:tr w14:paraId="754FB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6" w:type="pct"/>
            <w:noWrap w:val="0"/>
            <w:vAlign w:val="center"/>
          </w:tcPr>
          <w:p w14:paraId="32D9708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812" w:type="pct"/>
            <w:noWrap w:val="0"/>
            <w:vAlign w:val="center"/>
          </w:tcPr>
          <w:p w14:paraId="07EF8CC9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样品名称</w:t>
            </w:r>
          </w:p>
        </w:tc>
        <w:tc>
          <w:tcPr>
            <w:tcW w:w="884" w:type="pct"/>
            <w:noWrap w:val="0"/>
            <w:vAlign w:val="center"/>
          </w:tcPr>
          <w:p w14:paraId="64A5F4C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693" w:type="pct"/>
            <w:noWrap w:val="0"/>
            <w:vAlign w:val="center"/>
          </w:tcPr>
          <w:p w14:paraId="725FEDA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773" w:type="pct"/>
            <w:noWrap w:val="0"/>
            <w:vAlign w:val="center"/>
          </w:tcPr>
          <w:p w14:paraId="7E7917C9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71F75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6" w:type="pct"/>
            <w:noWrap w:val="0"/>
            <w:vAlign w:val="center"/>
          </w:tcPr>
          <w:p w14:paraId="4FBE49F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812" w:type="pct"/>
            <w:noWrap w:val="0"/>
            <w:vAlign w:val="center"/>
          </w:tcPr>
          <w:p w14:paraId="5F7F46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电热杯</w:t>
            </w:r>
          </w:p>
        </w:tc>
        <w:tc>
          <w:tcPr>
            <w:tcW w:w="884" w:type="pct"/>
            <w:noWrap w:val="0"/>
            <w:vAlign w:val="center"/>
          </w:tcPr>
          <w:p w14:paraId="1E887B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份</w:t>
            </w:r>
          </w:p>
        </w:tc>
        <w:tc>
          <w:tcPr>
            <w:tcW w:w="693" w:type="pct"/>
            <w:noWrap w:val="0"/>
            <w:vAlign w:val="center"/>
          </w:tcPr>
          <w:p w14:paraId="50B4FA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pct"/>
            <w:noWrap w:val="0"/>
            <w:vAlign w:val="center"/>
          </w:tcPr>
          <w:p w14:paraId="17A4D29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1B2A85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注：</w:t>
      </w:r>
    </w:p>
    <w:p w14:paraId="208C8A8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60" w:lineRule="exact"/>
        <w:ind w:left="0" w:leftChars="0" w:firstLine="400" w:firstLineChars="0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未提供样品或提供的样品不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lang w:eastAsia="zh-CN"/>
        </w:rPr>
        <w:t>符合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招标文件技术要求的样品不得分。</w:t>
      </w:r>
    </w:p>
    <w:p w14:paraId="40C5066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60" w:lineRule="exact"/>
        <w:ind w:left="0" w:leftChars="0" w:firstLine="400" w:firstLineChars="0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样品递交时间：样品请于开标当日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文件提交截止时间前，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lang w:val="en-US" w:eastAsia="zh-CN"/>
        </w:rPr>
        <w:t>和投标文件一起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交由采购代理机构，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lang w:eastAsia="zh-CN"/>
        </w:rPr>
        <w:t>标注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项目名称及公司名称，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lang w:val="en-US" w:eastAsia="zh-CN"/>
        </w:rPr>
        <w:t>未按规定地点和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时间送达的予以拒收。</w:t>
      </w:r>
    </w:p>
    <w:p w14:paraId="72F2329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60" w:lineRule="exact"/>
        <w:ind w:left="0" w:leftChars="0" w:firstLine="400" w:firstLineChars="0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样品递交地点：温州市瓯海区三垟街道桥头河大桥温州生命健康小镇B03。</w:t>
      </w:r>
    </w:p>
    <w:p w14:paraId="237E3BF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60" w:lineRule="exact"/>
        <w:ind w:left="0" w:leftChars="0" w:firstLine="400" w:firstLineChars="0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lang w:val="en-US" w:eastAsia="zh-CN"/>
        </w:rPr>
        <w:t>未中标的投标人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的样品在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lang w:val="en-US" w:eastAsia="zh-CN"/>
        </w:rPr>
        <w:t>评审结束后1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个工作日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lang w:val="en-US" w:eastAsia="zh-CN"/>
        </w:rPr>
        <w:t>内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自行撤回，逾期未撤回采购人有权自行处置。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lang w:val="en-US" w:eastAsia="zh-CN"/>
        </w:rPr>
        <w:t>中标人的样品由采购人封存，作为验收的依据之一。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评审小组评审样品分时可能对样品进行破坏性试验，如样品遭到破坏导致的损失由投标人自行承担，投标时请充分考虑当中风险。</w:t>
      </w:r>
    </w:p>
    <w:p w14:paraId="21B3BEF8">
      <w:pPr>
        <w:keepNext w:val="0"/>
        <w:keepLines w:val="0"/>
        <w:pageBreakBefore w:val="0"/>
        <w:kinsoku/>
        <w:wordWrap/>
        <w:topLinePunct w:val="0"/>
        <w:bidi w:val="0"/>
        <w:snapToGrid w:val="0"/>
        <w:spacing w:line="360" w:lineRule="exact"/>
        <w:jc w:val="left"/>
        <w:rPr>
          <w:rFonts w:hint="eastAsia" w:ascii="宋体" w:hAnsi="宋体" w:eastAsia="宋体" w:cs="宋体"/>
          <w:b/>
          <w:bCs/>
          <w:color w:val="auto"/>
          <w:spacing w:val="-6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6"/>
          <w:sz w:val="22"/>
          <w:szCs w:val="22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spacing w:val="-6"/>
          <w:sz w:val="22"/>
          <w:szCs w:val="22"/>
          <w:highlight w:val="none"/>
        </w:rPr>
        <w:t>、其他</w:t>
      </w:r>
    </w:p>
    <w:p w14:paraId="74A600FF">
      <w:pPr>
        <w:keepNext w:val="0"/>
        <w:keepLines w:val="0"/>
        <w:pageBreakBefore w:val="0"/>
        <w:kinsoku/>
        <w:wordWrap/>
        <w:topLinePunct w:val="0"/>
        <w:bidi w:val="0"/>
        <w:snapToGrid w:val="0"/>
        <w:spacing w:line="360" w:lineRule="exact"/>
        <w:ind w:firstLine="418" w:firstLineChars="200"/>
        <w:jc w:val="left"/>
        <w:rPr>
          <w:rFonts w:hint="eastAsia" w:ascii="宋体" w:hAnsi="宋体" w:eastAsia="宋体" w:cs="宋体"/>
          <w:b/>
          <w:bCs/>
          <w:color w:val="auto"/>
          <w:spacing w:val="-6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6"/>
          <w:sz w:val="22"/>
          <w:szCs w:val="22"/>
          <w:highlight w:val="none"/>
        </w:rPr>
        <w:t>1.除招标文件中所明确的采购需求外，欢迎其他能满足本项目采购需求</w:t>
      </w:r>
      <w:r>
        <w:rPr>
          <w:rFonts w:hint="eastAsia" w:ascii="宋体" w:hAnsi="宋体" w:eastAsia="宋体" w:cs="宋体"/>
          <w:b/>
          <w:bCs/>
          <w:color w:val="auto"/>
          <w:spacing w:val="-6"/>
          <w:sz w:val="22"/>
          <w:szCs w:val="22"/>
          <w:highlight w:val="none"/>
          <w:lang w:eastAsia="zh-CN"/>
        </w:rPr>
        <w:t>且</w:t>
      </w:r>
      <w:r>
        <w:rPr>
          <w:rFonts w:hint="eastAsia" w:ascii="宋体" w:hAnsi="宋体" w:eastAsia="宋体" w:cs="宋体"/>
          <w:b/>
          <w:bCs/>
          <w:color w:val="auto"/>
          <w:spacing w:val="-6"/>
          <w:sz w:val="22"/>
          <w:szCs w:val="22"/>
          <w:highlight w:val="none"/>
        </w:rPr>
        <w:t>所明确采购需求的产品参加投标报价。同时在采购需求偏离表中作出详细对比说明。</w:t>
      </w:r>
    </w:p>
    <w:p w14:paraId="0EB6D41B">
      <w:pPr>
        <w:keepNext w:val="0"/>
        <w:keepLines w:val="0"/>
        <w:pageBreakBefore w:val="0"/>
        <w:kinsoku/>
        <w:wordWrap/>
        <w:topLinePunct w:val="0"/>
        <w:bidi w:val="0"/>
        <w:snapToGrid w:val="0"/>
        <w:spacing w:line="360" w:lineRule="exact"/>
        <w:ind w:firstLine="418" w:firstLineChars="200"/>
        <w:jc w:val="left"/>
        <w:rPr>
          <w:rFonts w:hint="eastAsia" w:ascii="宋体" w:hAnsi="宋体" w:eastAsia="宋体" w:cs="宋体"/>
          <w:b/>
          <w:bCs/>
          <w:color w:val="auto"/>
          <w:spacing w:val="-6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6"/>
          <w:sz w:val="22"/>
          <w:szCs w:val="22"/>
          <w:highlight w:val="none"/>
        </w:rPr>
        <w:t>2.带“▲且加下划线”的有关条款为实质性条款，投标人必须做出实质性响应，不允许负偏离，出现负偏离的将导致投标无效。</w:t>
      </w:r>
    </w:p>
    <w:p w14:paraId="772EE213">
      <w:pPr>
        <w:keepNext w:val="0"/>
        <w:keepLines w:val="0"/>
        <w:pageBreakBefore w:val="0"/>
        <w:kinsoku/>
        <w:wordWrap/>
        <w:topLinePunct w:val="0"/>
        <w:bidi w:val="0"/>
        <w:snapToGrid w:val="0"/>
        <w:spacing w:line="360" w:lineRule="exact"/>
        <w:ind w:firstLine="418" w:firstLineChars="200"/>
        <w:jc w:val="left"/>
        <w:rPr>
          <w:rFonts w:hint="eastAsia" w:ascii="宋体" w:hAnsi="宋体" w:eastAsia="宋体" w:cs="宋体"/>
          <w:b/>
          <w:bCs/>
          <w:color w:val="auto"/>
          <w:spacing w:val="-6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6"/>
          <w:sz w:val="22"/>
          <w:szCs w:val="22"/>
          <w:highlight w:val="none"/>
        </w:rPr>
        <w:t>3.如技术要求中未特别注明需执行的国家相关标准、行业标准、地方标准或者其他标准、规范，则统一执行最新标准、规范。</w:t>
      </w:r>
    </w:p>
    <w:p w14:paraId="701BA781">
      <w:pPr>
        <w:keepNext w:val="0"/>
        <w:keepLines w:val="0"/>
        <w:pageBreakBefore w:val="0"/>
        <w:kinsoku/>
        <w:wordWrap/>
        <w:topLinePunct w:val="0"/>
        <w:bidi w:val="0"/>
        <w:snapToGrid w:val="0"/>
        <w:spacing w:line="360" w:lineRule="exact"/>
        <w:ind w:firstLine="418" w:firstLineChars="200"/>
        <w:jc w:val="left"/>
        <w:rPr>
          <w:rFonts w:hint="eastAsia" w:ascii="宋体" w:hAnsi="宋体" w:eastAsia="宋体" w:cs="宋体"/>
          <w:b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6"/>
          <w:sz w:val="22"/>
          <w:szCs w:val="22"/>
          <w:highlight w:val="none"/>
        </w:rPr>
        <w:t>4.技术部分中需要提供的证明材料有有效期的必须在有效期内，否则视为未提供。</w:t>
      </w:r>
    </w:p>
    <w:p w14:paraId="3FBF57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1D01E2"/>
    <w:multiLevelType w:val="singleLevel"/>
    <w:tmpl w:val="F11D01E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3FE7B152"/>
    <w:multiLevelType w:val="singleLevel"/>
    <w:tmpl w:val="3FE7B152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0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next w:val="4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 w:hAnsi="Courier New"/>
      <w:sz w:val="24"/>
    </w:rPr>
  </w:style>
  <w:style w:type="paragraph" w:styleId="4">
    <w:name w:val="toc 2"/>
    <w:basedOn w:val="1"/>
    <w:next w:val="1"/>
    <w:qFormat/>
    <w:uiPriority w:val="39"/>
    <w:pPr>
      <w:tabs>
        <w:tab w:val="right" w:leader="dot" w:pos="8302"/>
      </w:tabs>
      <w:ind w:leftChars="200"/>
    </w:pPr>
    <w:rPr>
      <w:b/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2025-11-06T10:42:33Z</dcterms:created>
  <dc:creator>Administrator</dc:creator>
  <cp:lastModifiedBy>WPS_1671692175</cp:lastModifiedBy>
  <dcterms:modified xsi:type="dcterms:W3CDTF">2025-11-06T10:43:36Z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eyJoZGlkIjoiNTNhY2ExODEzNWYyYTc4ZWM2ODBiMGYyZGEwNTFhNzUiLCJ1c2VySWQiOiIxNDUyODY0NDI2In0=</vt:lpwstr>
  </property>
  <property fmtid="{D5CDD505-2E9C-101B-9397-08002B2CF9AE}" pid="4" name="ICV">
    <vt:lpwstr>7FCF9C3E96854245894C116AA09AC7AF_12</vt:lpwstr>
  </property>
</Properties>
</file>