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4B794">
      <w:pPr>
        <w:pStyle w:val="4"/>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 w:eastAsia="zh-CN"/>
        </w:rPr>
        <w:t>附件</w:t>
      </w:r>
      <w:r>
        <w:rPr>
          <w:rFonts w:hint="eastAsia" w:ascii="黑体" w:hAnsi="黑体" w:eastAsia="黑体" w:cs="黑体"/>
          <w:sz w:val="32"/>
          <w:szCs w:val="32"/>
          <w:highlight w:val="none"/>
          <w:lang w:val="en-US" w:eastAsia="zh-CN"/>
        </w:rPr>
        <w:t>1</w:t>
      </w:r>
    </w:p>
    <w:p w14:paraId="51FBF24B">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宋体" w:hAnsi="宋体"/>
          <w:highlight w:val="none"/>
          <w:lang w:val="en-US" w:eastAsia="zh-CN"/>
        </w:rPr>
      </w:pPr>
    </w:p>
    <w:p w14:paraId="7980F4DB">
      <w:pPr>
        <w:pStyle w:val="2"/>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eastAsia"/>
          <w:highlight w:val="none"/>
          <w:lang w:val="en-US" w:eastAsia="zh-CN"/>
        </w:rPr>
      </w:pPr>
    </w:p>
    <w:p w14:paraId="50DFFF2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方正小标宋简体" w:cs="方正小标宋简体"/>
          <w:b w:val="0"/>
          <w:bCs w:val="0"/>
          <w:sz w:val="44"/>
          <w:szCs w:val="44"/>
          <w:highlight w:val="none"/>
          <w:lang w:val="en-US" w:eastAsia="zh-CN"/>
        </w:rPr>
      </w:pPr>
      <w:r>
        <w:rPr>
          <w:rFonts w:hint="eastAsia" w:ascii="宋体" w:hAnsi="宋体" w:eastAsia="方正小标宋简体" w:cs="方正小标宋简体"/>
          <w:b w:val="0"/>
          <w:bCs w:val="0"/>
          <w:sz w:val="44"/>
          <w:szCs w:val="44"/>
          <w:highlight w:val="none"/>
          <w:lang w:val="en-US" w:eastAsia="zh-CN"/>
        </w:rPr>
        <w:t>人力资源社会保障部</w:t>
      </w:r>
    </w:p>
    <w:p w14:paraId="36ED8AE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方正小标宋简体" w:cs="方正小标宋简体"/>
          <w:b w:val="0"/>
          <w:bCs w:val="0"/>
          <w:sz w:val="44"/>
          <w:szCs w:val="44"/>
          <w:highlight w:val="none"/>
          <w:lang w:val="en-US" w:eastAsia="zh-CN"/>
        </w:rPr>
      </w:pPr>
      <w:r>
        <w:rPr>
          <w:rFonts w:hint="eastAsia" w:ascii="宋体" w:hAnsi="宋体" w:eastAsia="方正小标宋简体" w:cs="方正小标宋简体"/>
          <w:b w:val="0"/>
          <w:bCs w:val="0"/>
          <w:sz w:val="44"/>
          <w:szCs w:val="44"/>
          <w:highlight w:val="none"/>
          <w:lang w:val="en-US" w:eastAsia="zh-CN"/>
        </w:rPr>
        <w:t>2025年重大课题申报指南</w:t>
      </w:r>
    </w:p>
    <w:p w14:paraId="57187151">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jc w:val="center"/>
        <w:textAlignment w:val="auto"/>
        <w:rPr>
          <w:rFonts w:hint="eastAsia" w:ascii="宋体" w:hAnsi="宋体" w:eastAsia="楷体"/>
          <w:sz w:val="32"/>
          <w:highlight w:val="none"/>
          <w:lang w:val="en-US" w:eastAsia="zh-CN"/>
        </w:rPr>
      </w:pPr>
    </w:p>
    <w:p w14:paraId="2F5E00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宋体" w:hAnsi="宋体" w:eastAsia="黑体" w:cs="黑体"/>
          <w:kern w:val="2"/>
          <w:sz w:val="32"/>
          <w:szCs w:val="32"/>
          <w:highlight w:val="none"/>
          <w:lang w:val="en-US" w:eastAsia="zh-CN" w:bidi="ar-SA"/>
        </w:rPr>
      </w:pPr>
      <w:r>
        <w:rPr>
          <w:rFonts w:hint="eastAsia" w:ascii="宋体" w:hAnsi="宋体" w:eastAsia="黑体" w:cs="黑体"/>
          <w:kern w:val="2"/>
          <w:sz w:val="32"/>
          <w:szCs w:val="32"/>
          <w:highlight w:val="none"/>
          <w:lang w:val="en-US" w:eastAsia="zh-CN" w:bidi="ar-SA"/>
        </w:rPr>
        <w:t>一、总体要求</w:t>
      </w:r>
    </w:p>
    <w:p w14:paraId="08C64B1B">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textAlignment w:val="auto"/>
        <w:rPr>
          <w:rFonts w:hint="default" w:ascii="宋体" w:hAnsi="宋体" w:eastAsia="仿宋_GB2312"/>
          <w:sz w:val="32"/>
          <w:highlight w:val="none"/>
          <w:lang w:val="en-US" w:eastAsia="zh-CN"/>
        </w:rPr>
      </w:pPr>
      <w:r>
        <w:rPr>
          <w:rFonts w:hint="eastAsia" w:ascii="宋体" w:hAnsi="宋体" w:eastAsia="仿宋_GB2312"/>
          <w:sz w:val="32"/>
          <w:highlight w:val="none"/>
          <w:lang w:val="en-US" w:eastAsia="zh-CN"/>
        </w:rPr>
        <w:t xml:space="preserve">    以习近平新时代中国特色社会主义思想为指导，深入贯彻党的二十大和二十届二中、三中全会以及中央经济工作会议精神，坚持以人民为中心的发展思想，完整准确全面贯彻新发展理念，正确认识和准确把握党中央、国务院关于经济社会发展特别是人力资源社会保障工作的决策部署要求，立足国情社情民情，围绕课题主要研究内容，聚焦课题研究重点难点，强化问题导向和系统观念，突出改革思维和创新思路，</w:t>
      </w:r>
      <w:r>
        <w:rPr>
          <w:rFonts w:hint="eastAsia" w:ascii="宋体" w:hAnsi="宋体" w:eastAsia="仿宋_GB2312" w:cs="仿宋_GB2312"/>
          <w:sz w:val="32"/>
          <w:szCs w:val="32"/>
          <w:highlight w:val="none"/>
          <w:lang w:val="en-US" w:eastAsia="zh-CN"/>
        </w:rPr>
        <w:t>形成兼具理论性与实践性、前瞻性与创新性的研究成果，为推动人力资源社会保障事业高质量发展提供智力支持。</w:t>
      </w:r>
    </w:p>
    <w:p w14:paraId="502E33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宋体" w:hAnsi="宋体" w:eastAsia="黑体" w:cs="黑体"/>
          <w:kern w:val="2"/>
          <w:sz w:val="32"/>
          <w:szCs w:val="32"/>
          <w:highlight w:val="none"/>
          <w:lang w:val="en-US" w:eastAsia="zh-CN" w:bidi="ar-SA"/>
        </w:rPr>
      </w:pPr>
      <w:r>
        <w:rPr>
          <w:rFonts w:hint="eastAsia" w:ascii="宋体" w:hAnsi="宋体" w:eastAsia="黑体" w:cs="黑体"/>
          <w:kern w:val="2"/>
          <w:sz w:val="32"/>
          <w:szCs w:val="32"/>
          <w:highlight w:val="none"/>
          <w:lang w:val="en-US" w:eastAsia="zh-CN" w:bidi="ar-SA"/>
        </w:rPr>
        <w:t>二、选题范围</w:t>
      </w:r>
    </w:p>
    <w:p w14:paraId="14783D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（一）就业友好型发展方式研究</w:t>
      </w:r>
    </w:p>
    <w:p w14:paraId="0A5DD8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楷体" w:cs="楷体"/>
          <w:kern w:val="2"/>
          <w:sz w:val="32"/>
          <w:szCs w:val="24"/>
          <w:highlight w:val="none"/>
          <w:lang w:val="en-US" w:eastAsia="zh-CN" w:bidi="ar-SA"/>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b w:val="0"/>
          <w:bCs w:val="0"/>
          <w:color w:val="auto"/>
          <w:sz w:val="32"/>
          <w:szCs w:val="32"/>
          <w:highlight w:val="none"/>
          <w:u w:val="none"/>
          <w:lang w:val="en" w:eastAsia="zh-CN"/>
        </w:rPr>
        <w:t>梳理总结国内外有益做法和先进经验，研究就业友好型发展的内涵、本质和特征，对我国构建就业友好型发展方式提出有价值的政策建议。</w:t>
      </w:r>
    </w:p>
    <w:p w14:paraId="3927EF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（二）</w:t>
      </w:r>
      <w:r>
        <w:rPr>
          <w:rFonts w:hint="default" w:ascii="宋体" w:hAnsi="宋体" w:eastAsia="楷体" w:cs="楷体"/>
          <w:sz w:val="32"/>
          <w:highlight w:val="none"/>
          <w:lang w:val="en-US" w:eastAsia="zh-CN"/>
        </w:rPr>
        <w:t>中国就业理论体系研究</w:t>
      </w:r>
    </w:p>
    <w:p w14:paraId="50658F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楷体" w:cs="楷体"/>
          <w:kern w:val="2"/>
          <w:sz w:val="32"/>
          <w:szCs w:val="24"/>
          <w:highlight w:val="none"/>
          <w:lang w:val="en-US" w:eastAsia="zh-CN" w:bidi="ar-SA"/>
        </w:rPr>
      </w:pPr>
      <w:r>
        <w:rPr>
          <w:rFonts w:hint="eastAsia" w:ascii="宋体" w:hAnsi="宋体" w:eastAsia="仿宋_GB2312" w:cs="仿宋_GB2312"/>
          <w:b w:val="0"/>
          <w:bCs w:val="0"/>
          <w:color w:val="auto"/>
          <w:sz w:val="32"/>
          <w:szCs w:val="32"/>
          <w:highlight w:val="none"/>
          <w:u w:val="none"/>
          <w:lang w:val="en-US" w:eastAsia="zh-CN"/>
        </w:rPr>
        <w:t>主要研究内容：梳理</w:t>
      </w:r>
      <w:r>
        <w:rPr>
          <w:rFonts w:hint="eastAsia" w:ascii="宋体" w:hAnsi="宋体" w:eastAsia="仿宋_GB2312" w:cs="仿宋_GB2312"/>
          <w:b w:val="0"/>
          <w:bCs w:val="0"/>
          <w:color w:val="auto"/>
          <w:sz w:val="32"/>
          <w:szCs w:val="32"/>
          <w:highlight w:val="none"/>
          <w:u w:val="none"/>
          <w:lang w:val="en" w:eastAsia="zh-CN"/>
        </w:rPr>
        <w:t>总结国际前沿就业理论，结合中国就业实践，聚焦促进高质量充分就业，研究提出适应中国国情的就业理论体系。</w:t>
      </w:r>
    </w:p>
    <w:p w14:paraId="03C5ED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（三）</w:t>
      </w:r>
      <w:r>
        <w:rPr>
          <w:rFonts w:hint="default" w:ascii="宋体" w:hAnsi="宋体" w:eastAsia="楷体" w:cs="楷体"/>
          <w:sz w:val="32"/>
          <w:highlight w:val="none"/>
          <w:lang w:val="en-US" w:eastAsia="zh-CN"/>
        </w:rPr>
        <w:t>推动人力资源服务业创新发展研究</w:t>
      </w:r>
    </w:p>
    <w:p w14:paraId="4621D95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宋体" w:hAnsi="宋体" w:eastAsia="仿宋_GB2312" w:cs="Times New Roman"/>
          <w:sz w:val="32"/>
          <w:highlight w:val="none"/>
          <w:lang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Times New Roman"/>
          <w:sz w:val="32"/>
          <w:highlight w:val="none"/>
          <w:lang w:eastAsia="zh-CN"/>
        </w:rPr>
        <w:t>梳理总结</w:t>
      </w:r>
      <w:r>
        <w:rPr>
          <w:rFonts w:hint="default" w:ascii="宋体" w:hAnsi="宋体" w:eastAsia="仿宋_GB2312" w:cs="Times New Roman"/>
          <w:sz w:val="32"/>
          <w:highlight w:val="none"/>
          <w:lang w:eastAsia="zh-CN"/>
        </w:rPr>
        <w:t>世界主要经济国家和地区人力资源服务业发展状况，</w:t>
      </w:r>
      <w:r>
        <w:rPr>
          <w:rFonts w:hint="eastAsia" w:ascii="宋体" w:hAnsi="宋体" w:eastAsia="仿宋_GB2312" w:cs="Times New Roman"/>
          <w:sz w:val="32"/>
          <w:highlight w:val="none"/>
          <w:lang w:eastAsia="zh-CN"/>
        </w:rPr>
        <w:t>对标剖析</w:t>
      </w:r>
      <w:r>
        <w:rPr>
          <w:rFonts w:hint="eastAsia" w:ascii="宋体" w:hAnsi="宋体" w:eastAsia="仿宋_GB2312" w:cs="Times New Roman"/>
          <w:sz w:val="32"/>
          <w:highlight w:val="none"/>
          <w:lang w:val="en-US" w:eastAsia="zh-CN"/>
        </w:rPr>
        <w:t>3—5家全球知名人力资源服务企业，</w:t>
      </w:r>
      <w:r>
        <w:rPr>
          <w:rFonts w:hint="default" w:ascii="宋体" w:hAnsi="宋体" w:eastAsia="仿宋_GB2312" w:cs="Times New Roman"/>
          <w:sz w:val="32"/>
          <w:highlight w:val="none"/>
          <w:lang w:eastAsia="zh-CN"/>
        </w:rPr>
        <w:t>深入</w:t>
      </w:r>
      <w:r>
        <w:rPr>
          <w:rFonts w:hint="eastAsia" w:ascii="宋体" w:hAnsi="宋体" w:eastAsia="仿宋_GB2312" w:cs="Times New Roman"/>
          <w:sz w:val="32"/>
          <w:highlight w:val="none"/>
          <w:lang w:eastAsia="zh-CN"/>
        </w:rPr>
        <w:t>分析</w:t>
      </w:r>
      <w:r>
        <w:rPr>
          <w:rFonts w:hint="default" w:ascii="宋体" w:hAnsi="宋体" w:eastAsia="仿宋_GB2312" w:cs="Times New Roman"/>
          <w:sz w:val="32"/>
          <w:highlight w:val="none"/>
          <w:lang w:eastAsia="zh-CN"/>
        </w:rPr>
        <w:t>当前和今后一个时期我国人力资源服务业发展趋势，探索</w:t>
      </w:r>
      <w:r>
        <w:rPr>
          <w:rFonts w:hint="eastAsia" w:ascii="宋体" w:hAnsi="宋体" w:eastAsia="仿宋_GB2312" w:cs="Times New Roman"/>
          <w:sz w:val="32"/>
          <w:highlight w:val="none"/>
          <w:lang w:eastAsia="zh-CN"/>
        </w:rPr>
        <w:t>构建我</w:t>
      </w:r>
      <w:r>
        <w:rPr>
          <w:rFonts w:hint="default" w:ascii="宋体" w:hAnsi="宋体" w:eastAsia="仿宋_GB2312" w:cs="Times New Roman"/>
          <w:sz w:val="32"/>
          <w:highlight w:val="none"/>
          <w:lang w:eastAsia="zh-CN"/>
        </w:rPr>
        <w:t>国人力资源服务业创新发展的指标体系</w:t>
      </w:r>
      <w:r>
        <w:rPr>
          <w:rFonts w:hint="eastAsia" w:ascii="宋体" w:hAnsi="宋体" w:eastAsia="仿宋_GB2312" w:cs="Times New Roman"/>
          <w:sz w:val="32"/>
          <w:highlight w:val="none"/>
          <w:lang w:eastAsia="zh-CN"/>
        </w:rPr>
        <w:t>，</w:t>
      </w:r>
      <w:r>
        <w:rPr>
          <w:rFonts w:hint="default" w:ascii="宋体" w:hAnsi="宋体" w:eastAsia="仿宋_GB2312" w:cs="Times New Roman"/>
          <w:sz w:val="32"/>
          <w:highlight w:val="none"/>
          <w:lang w:eastAsia="zh-CN"/>
        </w:rPr>
        <w:t>提出推动人力资源服务业在专业化、数字化、智能化、国际化方面的创新路径</w:t>
      </w:r>
      <w:r>
        <w:rPr>
          <w:rFonts w:hint="eastAsia" w:ascii="宋体" w:hAnsi="宋体" w:eastAsia="仿宋_GB2312" w:cs="Times New Roman"/>
          <w:sz w:val="32"/>
          <w:highlight w:val="none"/>
          <w:lang w:val="en-US" w:eastAsia="zh-CN"/>
        </w:rPr>
        <w:t>和</w:t>
      </w:r>
      <w:r>
        <w:rPr>
          <w:rFonts w:hint="default" w:ascii="宋体" w:hAnsi="宋体" w:eastAsia="仿宋_GB2312" w:cs="Times New Roman"/>
          <w:sz w:val="32"/>
          <w:highlight w:val="none"/>
          <w:lang w:eastAsia="zh-CN"/>
        </w:rPr>
        <w:t>政策建议。</w:t>
      </w:r>
    </w:p>
    <w:p w14:paraId="068D3A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（四）</w:t>
      </w:r>
      <w:r>
        <w:rPr>
          <w:rFonts w:hint="default" w:ascii="宋体" w:hAnsi="宋体" w:eastAsia="楷体" w:cs="楷体"/>
          <w:sz w:val="32"/>
          <w:highlight w:val="none"/>
          <w:lang w:val="en-US" w:eastAsia="zh-CN"/>
        </w:rPr>
        <w:t>农村人力资源开发利用研究</w:t>
      </w:r>
    </w:p>
    <w:p w14:paraId="699AAC4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楷体"/>
          <w:kern w:val="2"/>
          <w:sz w:val="32"/>
          <w:szCs w:val="24"/>
          <w:highlight w:val="none"/>
          <w:lang w:val="en-US" w:eastAsia="zh-CN" w:bidi="ar-SA"/>
        </w:rPr>
        <w:t>分析当前我国</w:t>
      </w:r>
      <w:r>
        <w:rPr>
          <w:rFonts w:hint="default" w:ascii="宋体" w:hAnsi="宋体" w:eastAsia="仿宋_GB2312" w:cs="仿宋_GB2312"/>
          <w:sz w:val="32"/>
          <w:szCs w:val="32"/>
          <w:highlight w:val="none"/>
        </w:rPr>
        <w:t>农村人力资源总体情况</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评估当前农村人力资源开发利用政策效果，分析问题短板及原因</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梳理</w:t>
      </w:r>
      <w:r>
        <w:rPr>
          <w:rFonts w:hint="eastAsia" w:ascii="宋体" w:hAnsi="宋体" w:eastAsia="仿宋_GB2312" w:cs="仿宋_GB2312"/>
          <w:sz w:val="32"/>
          <w:szCs w:val="32"/>
          <w:highlight w:val="none"/>
          <w:lang w:eastAsia="zh-CN"/>
        </w:rPr>
        <w:t>总结</w:t>
      </w:r>
      <w:r>
        <w:rPr>
          <w:rFonts w:hint="default" w:ascii="宋体" w:hAnsi="宋体" w:eastAsia="仿宋_GB2312" w:cs="仿宋_GB2312"/>
          <w:sz w:val="32"/>
          <w:szCs w:val="32"/>
          <w:highlight w:val="none"/>
        </w:rPr>
        <w:t>国外典型经验</w:t>
      </w:r>
      <w:r>
        <w:rPr>
          <w:rFonts w:hint="eastAsia" w:ascii="宋体" w:hAnsi="宋体" w:eastAsia="仿宋_GB2312" w:cs="仿宋_GB2312"/>
          <w:sz w:val="32"/>
          <w:szCs w:val="32"/>
          <w:highlight w:val="none"/>
          <w:lang w:eastAsia="zh-CN"/>
        </w:rPr>
        <w:t>，研究提出</w:t>
      </w:r>
      <w:r>
        <w:rPr>
          <w:rFonts w:hint="default" w:ascii="宋体" w:hAnsi="宋体" w:eastAsia="仿宋_GB2312" w:cs="仿宋_GB2312"/>
          <w:sz w:val="32"/>
          <w:szCs w:val="32"/>
          <w:highlight w:val="none"/>
        </w:rPr>
        <w:t>农村人力资源开发利用的路径</w:t>
      </w:r>
      <w:r>
        <w:rPr>
          <w:rFonts w:hint="eastAsia" w:ascii="宋体" w:hAnsi="宋体" w:eastAsia="仿宋_GB2312" w:cs="仿宋_GB2312"/>
          <w:sz w:val="32"/>
          <w:szCs w:val="32"/>
          <w:highlight w:val="none"/>
          <w:lang w:eastAsia="zh-CN"/>
        </w:rPr>
        <w:t>和政</w:t>
      </w:r>
      <w:r>
        <w:rPr>
          <w:rFonts w:hint="default" w:ascii="宋体" w:hAnsi="宋体" w:eastAsia="仿宋_GB2312" w:cs="仿宋_GB2312"/>
          <w:sz w:val="32"/>
          <w:szCs w:val="32"/>
          <w:highlight w:val="none"/>
        </w:rPr>
        <w:t>策建议。</w:t>
      </w:r>
    </w:p>
    <w:p w14:paraId="201B78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（五）</w:t>
      </w:r>
      <w:r>
        <w:rPr>
          <w:rFonts w:hint="default" w:ascii="宋体" w:hAnsi="宋体" w:eastAsia="楷体" w:cs="楷体"/>
          <w:sz w:val="32"/>
          <w:highlight w:val="none"/>
          <w:lang w:val="en-US" w:eastAsia="zh-CN"/>
        </w:rPr>
        <w:t>扩大企业年金制度覆盖范围问题</w:t>
      </w:r>
      <w:r>
        <w:rPr>
          <w:rFonts w:hint="eastAsia" w:ascii="宋体" w:hAnsi="宋体" w:eastAsia="楷体" w:cs="楷体"/>
          <w:sz w:val="32"/>
          <w:highlight w:val="none"/>
          <w:lang w:val="en-US" w:eastAsia="zh-CN"/>
        </w:rPr>
        <w:t>研究</w:t>
      </w:r>
    </w:p>
    <w:p w14:paraId="0421E9F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仿宋_GB2312" w:cs="仿宋_GB2312"/>
          <w:sz w:val="32"/>
          <w:szCs w:val="32"/>
          <w:highlight w:val="none"/>
          <w:lang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default" w:ascii="宋体" w:hAnsi="宋体" w:eastAsia="仿宋_GB2312" w:cs="仿宋_GB2312"/>
          <w:sz w:val="32"/>
          <w:szCs w:val="32"/>
          <w:highlight w:val="none"/>
        </w:rPr>
        <w:t>梳理</w:t>
      </w:r>
      <w:r>
        <w:rPr>
          <w:rFonts w:hint="eastAsia" w:ascii="宋体" w:hAnsi="宋体" w:eastAsia="仿宋_GB2312" w:cs="仿宋_GB2312"/>
          <w:sz w:val="32"/>
          <w:szCs w:val="32"/>
          <w:highlight w:val="none"/>
          <w:lang w:eastAsia="zh-CN"/>
        </w:rPr>
        <w:t>分析</w:t>
      </w:r>
      <w:r>
        <w:rPr>
          <w:rFonts w:hint="default" w:ascii="宋体" w:hAnsi="宋体" w:eastAsia="仿宋_GB2312" w:cs="仿宋_GB2312"/>
          <w:sz w:val="32"/>
          <w:szCs w:val="32"/>
          <w:highlight w:val="none"/>
        </w:rPr>
        <w:t>企业年金扩面存在的问题和难点，借鉴国际经验，提出扩大</w:t>
      </w:r>
      <w:r>
        <w:rPr>
          <w:rFonts w:hint="eastAsia" w:ascii="宋体" w:hAnsi="宋体" w:eastAsia="仿宋_GB2312" w:cs="仿宋_GB2312"/>
          <w:sz w:val="32"/>
          <w:szCs w:val="32"/>
          <w:highlight w:val="none"/>
          <w:lang w:eastAsia="zh-CN"/>
        </w:rPr>
        <w:t>企业年金制度</w:t>
      </w:r>
      <w:r>
        <w:rPr>
          <w:rFonts w:hint="default" w:ascii="宋体" w:hAnsi="宋体" w:eastAsia="仿宋_GB2312" w:cs="仿宋_GB2312"/>
          <w:sz w:val="32"/>
          <w:szCs w:val="32"/>
          <w:highlight w:val="none"/>
        </w:rPr>
        <w:t>覆盖范围的改革路径，</w:t>
      </w:r>
      <w:r>
        <w:rPr>
          <w:rFonts w:hint="eastAsia" w:ascii="宋体" w:hAnsi="宋体" w:eastAsia="仿宋_GB2312" w:cs="仿宋_GB2312"/>
          <w:sz w:val="32"/>
          <w:szCs w:val="32"/>
          <w:highlight w:val="none"/>
          <w:lang w:eastAsia="zh-CN"/>
        </w:rPr>
        <w:t>预测</w:t>
      </w:r>
      <w:r>
        <w:rPr>
          <w:rFonts w:hint="default" w:ascii="宋体" w:hAnsi="宋体" w:eastAsia="仿宋_GB2312" w:cs="仿宋_GB2312"/>
          <w:sz w:val="32"/>
          <w:szCs w:val="32"/>
          <w:highlight w:val="none"/>
        </w:rPr>
        <w:t>各路径对经济社会发展、企业成本、财政支出（支持）政策、企业年金制度运行模式和职工待遇等的影响</w:t>
      </w:r>
      <w:r>
        <w:rPr>
          <w:rFonts w:hint="eastAsia" w:ascii="宋体" w:hAnsi="宋体" w:eastAsia="仿宋_GB2312" w:cs="仿宋_GB2312"/>
          <w:sz w:val="32"/>
          <w:szCs w:val="32"/>
          <w:highlight w:val="none"/>
          <w:lang w:eastAsia="zh-CN"/>
        </w:rPr>
        <w:t>。研究提出企业年金制度内转移，与职业年金跨制度转移，以及与个人养老金跨制度转移等实现路径。</w:t>
      </w:r>
    </w:p>
    <w:p w14:paraId="4AA253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（六）</w:t>
      </w:r>
      <w:r>
        <w:rPr>
          <w:rFonts w:hint="default" w:ascii="宋体" w:hAnsi="宋体" w:eastAsia="楷体" w:cs="楷体"/>
          <w:sz w:val="32"/>
          <w:highlight w:val="none"/>
          <w:lang w:val="en-US" w:eastAsia="zh-CN"/>
        </w:rPr>
        <w:t>《工伤保险条例》修订若干问题研究</w:t>
      </w:r>
    </w:p>
    <w:p w14:paraId="03ED2494">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w:t>
      </w:r>
      <w:r>
        <w:rPr>
          <w:rFonts w:hint="eastAsia" w:ascii="宋体" w:hAnsi="宋体" w:eastAsia="仿宋_GB2312" w:cs="仿宋_GB2312"/>
          <w:sz w:val="32"/>
          <w:szCs w:val="32"/>
          <w:highlight w:val="none"/>
          <w:lang w:eastAsia="zh-CN"/>
        </w:rPr>
        <w:t>围绕工伤保障制度覆盖范围、完善工伤认定和待遇政策、完善工伤保险经办管理职责、强化工伤预防和工伤康复有关内容、健全“三位一体”工伤保险制度体系、优化工伤保险信息化建设和公共服务等重点方面，总结梳理现状，分析存在问题，研究提出《工伤保险条例》修订的政策建议和具体措施。</w:t>
      </w:r>
    </w:p>
    <w:p w14:paraId="122256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（七）</w:t>
      </w:r>
      <w:r>
        <w:rPr>
          <w:rFonts w:hint="default" w:ascii="宋体" w:hAnsi="宋体" w:eastAsia="楷体" w:cs="楷体"/>
          <w:sz w:val="32"/>
          <w:highlight w:val="none"/>
          <w:lang w:val="en-US" w:eastAsia="zh-CN"/>
        </w:rPr>
        <w:t>社保基金监督条例立法若干问题研究</w:t>
      </w:r>
    </w:p>
    <w:p w14:paraId="025582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kern w:val="2"/>
          <w:sz w:val="32"/>
          <w:szCs w:val="24"/>
          <w:highlight w:val="none"/>
          <w:lang w:val="en-US" w:eastAsia="zh-CN" w:bidi="ar-SA"/>
        </w:rPr>
        <w:t>围绕进一步</w:t>
      </w:r>
      <w:r>
        <w:rPr>
          <w:rFonts w:hint="eastAsia" w:ascii="宋体" w:hAnsi="宋体" w:eastAsia="仿宋_GB2312" w:cs="仿宋_GB2312"/>
          <w:sz w:val="32"/>
          <w:szCs w:val="32"/>
          <w:highlight w:val="none"/>
          <w:lang w:eastAsia="zh-CN"/>
        </w:rPr>
        <w:t>明确各部门基金监督职责、完善基金监督工作体系、健全基金安全风险防控机制、细化完善基金违规违法行为法律责任等重点方面，总结梳理现状，分析存在问题，研究提出政策建议和改进加强的具体措施。</w:t>
      </w:r>
    </w:p>
    <w:p w14:paraId="54E7B7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（八）</w:t>
      </w:r>
      <w:r>
        <w:rPr>
          <w:rFonts w:hint="default" w:ascii="宋体" w:hAnsi="宋体" w:eastAsia="楷体" w:cs="楷体"/>
          <w:sz w:val="32"/>
          <w:highlight w:val="none"/>
          <w:lang w:val="en-US" w:eastAsia="zh-CN"/>
        </w:rPr>
        <w:t>构建国家资历框架体系研究</w:t>
      </w:r>
    </w:p>
    <w:p w14:paraId="3779081B">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w:t>
      </w:r>
      <w:r>
        <w:rPr>
          <w:rFonts w:hint="eastAsia" w:ascii="宋体" w:hAnsi="宋体" w:eastAsia="仿宋_GB2312" w:cs="仿宋_GB2312"/>
          <w:b w:val="0"/>
          <w:bCs w:val="0"/>
          <w:color w:val="auto"/>
          <w:sz w:val="32"/>
          <w:szCs w:val="32"/>
          <w:highlight w:val="none"/>
          <w:u w:val="none"/>
          <w:lang w:val="en" w:eastAsia="zh-CN"/>
        </w:rPr>
        <w:t>梳理总结我国国家资历框架内容现行情况，重点分析我国国家资历框架构建过程中的堵点卡点难点及其产生原因，借鉴其他国家经验，研究阐释中国特色国家资历框架的内涵，提出构建我国国家资历框架的突破点、发力点及实现路径。</w:t>
      </w:r>
    </w:p>
    <w:p w14:paraId="7BA12E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（九）</w:t>
      </w:r>
      <w:r>
        <w:rPr>
          <w:rFonts w:hint="default" w:ascii="宋体" w:hAnsi="宋体" w:eastAsia="楷体" w:cs="楷体"/>
          <w:sz w:val="32"/>
          <w:highlight w:val="none"/>
          <w:lang w:val="en-US" w:eastAsia="zh-CN"/>
        </w:rPr>
        <w:t>人才服务体系建设研究</w:t>
      </w:r>
    </w:p>
    <w:p w14:paraId="6234D9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sz w:val="32"/>
          <w:szCs w:val="32"/>
          <w:highlight w:val="none"/>
          <w:u w:val="none"/>
          <w:lang w:val="en-US" w:eastAsia="zh-CN"/>
        </w:rPr>
        <w:t>主要研究内容：研究辨析人才服务相关概念、范畴、内在逻辑以及与其他人才工作和教育科技工作的关系，</w:t>
      </w:r>
      <w:r>
        <w:rPr>
          <w:rFonts w:hint="eastAsia" w:ascii="宋体" w:hAnsi="宋体" w:eastAsia="仿宋_GB2312" w:cs="仿宋_GB2312"/>
          <w:b w:val="0"/>
          <w:bCs w:val="0"/>
          <w:color w:val="auto"/>
          <w:sz w:val="32"/>
          <w:szCs w:val="32"/>
          <w:highlight w:val="none"/>
          <w:u w:val="none"/>
          <w:lang w:val="en" w:eastAsia="zh-CN"/>
        </w:rPr>
        <w:t>系统梳理我国人才服务体系建设历史沿革、成功经验和现状，以及当前人才服务体系建设典型做法、存在的突出问题，从国家总体、部门、行业、地方等层面总结提炼政策、项目、平台、内容、标准、流程，研究提出为支持国家全面创新、完善和加强国家人才服务体系建设的总体思路和对策。</w:t>
      </w:r>
    </w:p>
    <w:p w14:paraId="09B3C1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（十）</w:t>
      </w:r>
      <w:r>
        <w:rPr>
          <w:rFonts w:hint="default" w:ascii="宋体" w:hAnsi="宋体" w:eastAsia="楷体" w:cs="楷体"/>
          <w:sz w:val="32"/>
          <w:highlight w:val="none"/>
          <w:lang w:val="en-US" w:eastAsia="zh-CN"/>
        </w:rPr>
        <w:t>外国人来华工作劳动法律问题研究</w:t>
      </w:r>
    </w:p>
    <w:p w14:paraId="113447F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仿宋_GB2312" w:cs="仿宋_GB2312"/>
          <w:b w:val="0"/>
          <w:bCs w:val="0"/>
          <w:color w:val="auto"/>
          <w:sz w:val="32"/>
          <w:szCs w:val="32"/>
          <w:highlight w:val="none"/>
          <w:u w:val="none"/>
          <w:lang w:val="en"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b w:val="0"/>
          <w:bCs w:val="0"/>
          <w:color w:val="auto"/>
          <w:sz w:val="32"/>
          <w:szCs w:val="32"/>
          <w:highlight w:val="none"/>
          <w:u w:val="none"/>
          <w:lang w:val="en" w:eastAsia="zh-CN"/>
        </w:rPr>
        <w:t>梳理美国等发达国家建立健全外国人劳动法律关系的举措，分析外国人来华工作适用我国劳动法律体系存在的主要问题，提炼外国人来华工作劳动关系的政策依据、理论依据和前期实践，研究提出规范我国外国人来华工作劳动管理的具体举措和意见建议。</w:t>
      </w:r>
    </w:p>
    <w:p w14:paraId="4F21C8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（十一）新形势下劳动关系理论探索研究</w:t>
      </w:r>
    </w:p>
    <w:p w14:paraId="459A84BD">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宋体" w:hAnsi="宋体" w:eastAsia="仿宋_GB2312" w:cs="仿宋_GB2312"/>
          <w:b w:val="0"/>
          <w:bCs w:val="0"/>
          <w:color w:val="auto"/>
          <w:kern w:val="2"/>
          <w:sz w:val="32"/>
          <w:szCs w:val="32"/>
          <w:highlight w:val="none"/>
          <w:u w:val="none"/>
          <w:lang w:val="en-US" w:eastAsia="zh-CN" w:bidi="ar-SA"/>
        </w:rPr>
      </w:pPr>
      <w:r>
        <w:rPr>
          <w:rFonts w:hint="eastAsia" w:ascii="宋体" w:hAnsi="宋体" w:eastAsia="仿宋_GB2312" w:cs="仿宋_GB2312"/>
          <w:b w:val="0"/>
          <w:bCs w:val="0"/>
          <w:color w:val="auto"/>
          <w:kern w:val="2"/>
          <w:sz w:val="32"/>
          <w:szCs w:val="32"/>
          <w:highlight w:val="none"/>
          <w:u w:val="none"/>
          <w:lang w:val="en-US" w:eastAsia="zh-CN" w:bidi="ar-SA"/>
        </w:rPr>
        <w:t>主要研究内容：全面梳理建国以来我国劳动关系规制思路、政策调整、治理理念的变化发展，深入分析信息化时代对劳动关系的影响，包括数字经济渗透劳动关系领域的表现以及对就业形式、用工灵活化等方面的影响，研究总结劳动关系出现的灵活化等新特点和新趋势，探索提出新形势下劳动关系政策制度建设的理论观点和基本思路。</w:t>
      </w:r>
    </w:p>
    <w:p w14:paraId="715149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（十二）</w:t>
      </w:r>
      <w:r>
        <w:rPr>
          <w:rFonts w:hint="default" w:ascii="宋体" w:hAnsi="宋体" w:eastAsia="楷体" w:cs="楷体"/>
          <w:sz w:val="32"/>
          <w:highlight w:val="none"/>
          <w:lang w:val="en-US" w:eastAsia="zh-CN"/>
        </w:rPr>
        <w:t>完善劳动关系协商协调机制</w:t>
      </w:r>
      <w:r>
        <w:rPr>
          <w:rFonts w:hint="eastAsia" w:ascii="宋体" w:hAnsi="宋体" w:eastAsia="楷体" w:cs="楷体"/>
          <w:sz w:val="32"/>
          <w:highlight w:val="none"/>
          <w:lang w:val="en-US" w:eastAsia="zh-CN"/>
        </w:rPr>
        <w:t>研究</w:t>
      </w:r>
    </w:p>
    <w:p w14:paraId="60C6626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宋体" w:hAnsi="宋体" w:eastAsia="仿宋_GB2312" w:cs="仿宋"/>
          <w:sz w:val="32"/>
          <w:szCs w:val="32"/>
          <w:highlight w:val="none"/>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kern w:val="2"/>
          <w:sz w:val="32"/>
          <w:szCs w:val="24"/>
          <w:highlight w:val="none"/>
          <w:lang w:val="en-US" w:eastAsia="zh-CN" w:bidi="ar-SA"/>
        </w:rPr>
        <w:t>梳理</w:t>
      </w:r>
      <w:r>
        <w:rPr>
          <w:rFonts w:hint="default" w:ascii="宋体" w:hAnsi="宋体" w:eastAsia="仿宋_GB2312" w:cs="仿宋"/>
          <w:sz w:val="32"/>
          <w:szCs w:val="32"/>
          <w:highlight w:val="none"/>
        </w:rPr>
        <w:t>中国劳动关系</w:t>
      </w:r>
      <w:r>
        <w:rPr>
          <w:rFonts w:hint="eastAsia" w:ascii="宋体" w:hAnsi="宋体" w:eastAsia="仿宋_GB2312" w:cs="仿宋"/>
          <w:sz w:val="32"/>
          <w:szCs w:val="32"/>
          <w:highlight w:val="none"/>
          <w:lang w:eastAsia="zh-CN"/>
        </w:rPr>
        <w:t>协商</w:t>
      </w:r>
      <w:r>
        <w:rPr>
          <w:rFonts w:hint="default" w:ascii="宋体" w:hAnsi="宋体" w:eastAsia="仿宋_GB2312" w:cs="仿宋"/>
          <w:sz w:val="32"/>
          <w:szCs w:val="32"/>
          <w:highlight w:val="none"/>
        </w:rPr>
        <w:t>协调机制的发展历程和具体内容</w:t>
      </w:r>
      <w:r>
        <w:rPr>
          <w:rFonts w:hint="eastAsia" w:ascii="宋体" w:hAnsi="宋体" w:eastAsia="仿宋_GB2312" w:cs="仿宋"/>
          <w:sz w:val="32"/>
          <w:szCs w:val="32"/>
          <w:highlight w:val="none"/>
          <w:lang w:eastAsia="zh-CN"/>
        </w:rPr>
        <w:t>，开展</w:t>
      </w:r>
      <w:r>
        <w:rPr>
          <w:rFonts w:hint="default" w:ascii="宋体" w:hAnsi="宋体" w:eastAsia="仿宋_GB2312" w:cs="仿宋"/>
          <w:sz w:val="32"/>
          <w:szCs w:val="32"/>
          <w:highlight w:val="none"/>
        </w:rPr>
        <w:t>中外劳动关系协商协调机制比较研究</w:t>
      </w:r>
      <w:r>
        <w:rPr>
          <w:rFonts w:hint="eastAsia" w:ascii="宋体" w:hAnsi="宋体" w:eastAsia="仿宋_GB2312" w:cs="仿宋"/>
          <w:sz w:val="32"/>
          <w:szCs w:val="32"/>
          <w:highlight w:val="none"/>
          <w:lang w:eastAsia="zh-CN"/>
        </w:rPr>
        <w:t>，分析</w:t>
      </w:r>
      <w:r>
        <w:rPr>
          <w:rFonts w:hint="default" w:ascii="宋体" w:hAnsi="宋体" w:eastAsia="仿宋_GB2312" w:cs="仿宋"/>
          <w:sz w:val="32"/>
          <w:szCs w:val="32"/>
          <w:highlight w:val="none"/>
        </w:rPr>
        <w:t>当前中国劳动关系协商协调机制面临的不足和突出问题</w:t>
      </w:r>
      <w:r>
        <w:rPr>
          <w:rFonts w:hint="eastAsia" w:ascii="宋体" w:hAnsi="宋体" w:eastAsia="仿宋_GB2312" w:cs="仿宋"/>
          <w:sz w:val="32"/>
          <w:szCs w:val="32"/>
          <w:highlight w:val="none"/>
          <w:lang w:eastAsia="zh-CN"/>
        </w:rPr>
        <w:t>，科学界定</w:t>
      </w:r>
      <w:r>
        <w:rPr>
          <w:rFonts w:hint="default" w:ascii="宋体" w:hAnsi="宋体" w:eastAsia="仿宋_GB2312" w:cs="仿宋"/>
          <w:sz w:val="32"/>
          <w:szCs w:val="32"/>
          <w:highlight w:val="none"/>
        </w:rPr>
        <w:t>新时代劳动关系协商协调机制的内涵和外延，</w:t>
      </w:r>
      <w:r>
        <w:rPr>
          <w:rFonts w:hint="eastAsia" w:ascii="宋体" w:hAnsi="宋体" w:eastAsia="仿宋_GB2312" w:cs="仿宋"/>
          <w:sz w:val="32"/>
          <w:szCs w:val="32"/>
          <w:highlight w:val="none"/>
          <w:lang w:eastAsia="zh-CN"/>
        </w:rPr>
        <w:t>提出</w:t>
      </w:r>
      <w:r>
        <w:rPr>
          <w:rFonts w:hint="default" w:ascii="宋体" w:hAnsi="宋体" w:eastAsia="仿宋_GB2312" w:cs="仿宋"/>
          <w:sz w:val="32"/>
          <w:szCs w:val="32"/>
          <w:highlight w:val="none"/>
        </w:rPr>
        <w:t>完善劳动关系协商协调机制的基本思路和有效路径。</w:t>
      </w:r>
    </w:p>
    <w:p w14:paraId="14C8BA2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（十三）</w:t>
      </w:r>
      <w:r>
        <w:rPr>
          <w:rFonts w:hint="default" w:ascii="宋体" w:hAnsi="宋体" w:eastAsia="楷体" w:cs="楷体"/>
          <w:sz w:val="32"/>
          <w:highlight w:val="none"/>
          <w:lang w:val="en-US" w:eastAsia="zh-CN"/>
        </w:rPr>
        <w:t>灵活就业和新就业形态劳动者权益保障</w:t>
      </w:r>
      <w:r>
        <w:rPr>
          <w:rFonts w:hint="eastAsia" w:ascii="宋体" w:hAnsi="宋体" w:eastAsia="楷体" w:cs="楷体"/>
          <w:sz w:val="32"/>
          <w:highlight w:val="none"/>
          <w:lang w:val="en-US" w:eastAsia="zh-CN"/>
        </w:rPr>
        <w:t>法律制度</w:t>
      </w:r>
      <w:r>
        <w:rPr>
          <w:rFonts w:hint="default" w:ascii="宋体" w:hAnsi="宋体" w:eastAsia="楷体" w:cs="楷体"/>
          <w:sz w:val="32"/>
          <w:highlight w:val="none"/>
          <w:lang w:val="en-US" w:eastAsia="zh-CN"/>
        </w:rPr>
        <w:t>研究</w:t>
      </w:r>
    </w:p>
    <w:p w14:paraId="5B9E5724">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w:t>
      </w:r>
      <w:r>
        <w:rPr>
          <w:rFonts w:hint="default" w:ascii="宋体" w:hAnsi="宋体" w:eastAsia="仿宋_GB2312" w:cs="仿宋_GB2312"/>
          <w:sz w:val="32"/>
          <w:szCs w:val="32"/>
          <w:highlight w:val="none"/>
        </w:rPr>
        <w:t>全面评估现行</w:t>
      </w:r>
      <w:r>
        <w:rPr>
          <w:rFonts w:hint="eastAsia" w:ascii="宋体" w:hAnsi="宋体" w:eastAsia="仿宋_GB2312" w:cs="仿宋_GB2312"/>
          <w:sz w:val="32"/>
          <w:szCs w:val="32"/>
          <w:highlight w:val="none"/>
          <w:lang w:eastAsia="zh-CN"/>
        </w:rPr>
        <w:t>灵活就业和</w:t>
      </w:r>
      <w:r>
        <w:rPr>
          <w:rFonts w:hint="default" w:ascii="宋体" w:hAnsi="宋体" w:eastAsia="仿宋_GB2312" w:cs="仿宋_GB2312"/>
          <w:sz w:val="32"/>
          <w:szCs w:val="32"/>
          <w:highlight w:val="none"/>
        </w:rPr>
        <w:t>新就业形态劳动者权益保障政策实施效果</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总结提炼地方和企业维护灵活就业和新就业形态劳动者权益的经验做法</w:t>
      </w:r>
      <w:r>
        <w:rPr>
          <w:rFonts w:hint="eastAsia" w:ascii="宋体" w:hAnsi="宋体" w:eastAsia="仿宋_GB2312" w:cs="仿宋_GB2312"/>
          <w:sz w:val="32"/>
          <w:szCs w:val="32"/>
          <w:highlight w:val="none"/>
          <w:lang w:eastAsia="zh-CN"/>
        </w:rPr>
        <w:t>，并通过</w:t>
      </w:r>
      <w:r>
        <w:rPr>
          <w:rFonts w:hint="default" w:ascii="宋体" w:hAnsi="宋体" w:eastAsia="仿宋_GB2312" w:cs="仿宋_GB2312"/>
          <w:sz w:val="32"/>
          <w:szCs w:val="32"/>
          <w:highlight w:val="none"/>
        </w:rPr>
        <w:t>开展国际比较研究</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对完善我国法律法规制度提出具体意见建议。</w:t>
      </w:r>
      <w:r>
        <w:rPr>
          <w:rFonts w:hint="eastAsia" w:ascii="宋体" w:hAnsi="宋体" w:eastAsia="黑体" w:cs="黑体"/>
          <w:sz w:val="32"/>
          <w:szCs w:val="32"/>
          <w:highlight w:val="none"/>
          <w:lang w:val="en-US" w:eastAsia="zh-CN"/>
        </w:rPr>
        <w:t xml:space="preserve"> </w:t>
      </w:r>
    </w:p>
    <w:p w14:paraId="5388ED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（十四）创新企业工资分配宏观指导方式方法研究</w:t>
      </w:r>
    </w:p>
    <w:p w14:paraId="2BC9E4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楷体" w:cs="楷体"/>
          <w:kern w:val="2"/>
          <w:sz w:val="32"/>
          <w:szCs w:val="24"/>
          <w:highlight w:val="none"/>
          <w:lang w:val="en-US" w:eastAsia="zh-CN" w:bidi="ar-SA"/>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分析评估我国企业工资分配宏观指导政策实施效果，梳理</w:t>
      </w:r>
      <w:r>
        <w:rPr>
          <w:rFonts w:hint="default" w:ascii="宋体" w:hAnsi="宋体" w:eastAsia="仿宋_GB2312" w:cs="Times New Roman"/>
          <w:b w:val="0"/>
          <w:bCs w:val="0"/>
          <w:i w:val="0"/>
          <w:caps w:val="0"/>
          <w:color w:val="auto"/>
          <w:spacing w:val="0"/>
          <w:kern w:val="0"/>
          <w:sz w:val="32"/>
          <w:szCs w:val="32"/>
          <w:highlight w:val="none"/>
          <w:shd w:val="clear" w:color="auto" w:fill="FFFFFF"/>
          <w:lang w:eastAsia="zh-CN" w:bidi="ar"/>
        </w:rPr>
        <w:t>分析国外</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有关政策做法及对我国的启示，探索</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企业工资</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分配</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宏观指导</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新</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方法</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新路径</w:t>
      </w:r>
      <w:r>
        <w:rPr>
          <w:rFonts w:hint="eastAsia" w:ascii="宋体" w:hAnsi="宋体" w:eastAsia="仿宋_GB2312" w:cs="Times New Roman"/>
          <w:i w:val="0"/>
          <w:caps w:val="0"/>
          <w:color w:val="auto"/>
          <w:spacing w:val="0"/>
          <w:kern w:val="0"/>
          <w:sz w:val="32"/>
          <w:szCs w:val="32"/>
          <w:highlight w:val="none"/>
          <w:shd w:val="clear" w:color="auto" w:fill="FFFFFF"/>
          <w:lang w:eastAsia="zh-CN" w:bidi="ar"/>
        </w:rPr>
        <w:t>，</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提出完善现有</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企业工资</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分配</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宏观指导</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政策的思路建议。</w:t>
      </w:r>
    </w:p>
    <w:p w14:paraId="77FCCE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（十五）</w:t>
      </w:r>
      <w:r>
        <w:rPr>
          <w:rFonts w:hint="default" w:ascii="宋体" w:hAnsi="宋体" w:eastAsia="楷体" w:cs="楷体"/>
          <w:sz w:val="32"/>
          <w:highlight w:val="none"/>
          <w:lang w:val="en-US" w:eastAsia="zh-CN"/>
        </w:rPr>
        <w:t>深化高校、科研院所收入分配改革</w:t>
      </w:r>
      <w:r>
        <w:rPr>
          <w:rFonts w:hint="eastAsia" w:ascii="宋体" w:hAnsi="宋体" w:eastAsia="楷体" w:cs="楷体"/>
          <w:sz w:val="32"/>
          <w:highlight w:val="none"/>
          <w:lang w:val="en-US" w:eastAsia="zh-CN"/>
        </w:rPr>
        <w:t>研究</w:t>
      </w:r>
    </w:p>
    <w:p w14:paraId="6F89D0C6">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eastAsia" w:ascii="宋体" w:hAnsi="宋体" w:eastAsia="仿宋_GB2312"/>
          <w:color w:val="auto"/>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主要研究内容：重点</w:t>
      </w:r>
      <w:r>
        <w:rPr>
          <w:rFonts w:hint="default" w:ascii="宋体" w:hAnsi="宋体" w:eastAsia="仿宋_GB2312" w:cs="仿宋_GB2312"/>
          <w:color w:val="auto"/>
          <w:sz w:val="32"/>
          <w:szCs w:val="32"/>
          <w:highlight w:val="none"/>
        </w:rPr>
        <w:t>研究深化高校</w:t>
      </w:r>
      <w:r>
        <w:rPr>
          <w:rFonts w:hint="eastAsia" w:ascii="宋体" w:hAnsi="宋体" w:eastAsia="仿宋_GB2312" w:cs="仿宋_GB2312"/>
          <w:color w:val="auto"/>
          <w:sz w:val="32"/>
          <w:szCs w:val="32"/>
          <w:highlight w:val="none"/>
          <w:lang w:eastAsia="zh-CN"/>
        </w:rPr>
        <w:t>、</w:t>
      </w:r>
      <w:r>
        <w:rPr>
          <w:rFonts w:hint="default" w:ascii="宋体" w:hAnsi="宋体" w:eastAsia="仿宋_GB2312" w:cs="仿宋_GB2312"/>
          <w:color w:val="auto"/>
          <w:sz w:val="32"/>
          <w:szCs w:val="32"/>
          <w:highlight w:val="none"/>
        </w:rPr>
        <w:t>科研院所收入分配改革的方向和着力点、高校与科研院所对深化改革的不同需求、</w:t>
      </w:r>
      <w:r>
        <w:rPr>
          <w:rFonts w:hint="eastAsia" w:ascii="宋体" w:hAnsi="宋体" w:eastAsia="仿宋_GB2312" w:cs="仿宋_GB2312"/>
          <w:color w:val="auto"/>
          <w:sz w:val="32"/>
          <w:szCs w:val="32"/>
          <w:highlight w:val="none"/>
          <w:lang w:eastAsia="zh-CN"/>
        </w:rPr>
        <w:t>薪酬制度改革</w:t>
      </w:r>
      <w:r>
        <w:rPr>
          <w:rFonts w:hint="default" w:ascii="宋体" w:hAnsi="宋体" w:eastAsia="仿宋_GB2312" w:cs="仿宋_GB2312"/>
          <w:color w:val="auto"/>
          <w:sz w:val="32"/>
          <w:szCs w:val="32"/>
          <w:highlight w:val="none"/>
        </w:rPr>
        <w:t>试点工作与教育科技人才体制机制改革一体推进等问题</w:t>
      </w:r>
      <w:r>
        <w:rPr>
          <w:rFonts w:hint="eastAsia" w:ascii="宋体" w:hAnsi="宋体" w:eastAsia="仿宋_GB2312" w:cs="仿宋_GB2312"/>
          <w:color w:val="auto"/>
          <w:sz w:val="32"/>
          <w:szCs w:val="32"/>
          <w:highlight w:val="none"/>
          <w:lang w:eastAsia="zh-CN"/>
        </w:rPr>
        <w:t>，提出深化高校、科研院所收入分配改革的政策建议。</w:t>
      </w:r>
    </w:p>
    <w:p w14:paraId="4C38B7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黑体" w:cs="黑体"/>
          <w:sz w:val="32"/>
          <w:szCs w:val="32"/>
          <w:highlight w:val="none"/>
          <w:lang w:val="en-US" w:eastAsia="zh-CN"/>
        </w:rPr>
      </w:pPr>
      <w:r>
        <w:rPr>
          <w:rFonts w:hint="eastAsia" w:ascii="宋体" w:hAnsi="宋体" w:eastAsia="黑体" w:cs="黑体"/>
          <w:kern w:val="2"/>
          <w:sz w:val="32"/>
          <w:szCs w:val="32"/>
          <w:highlight w:val="none"/>
          <w:lang w:val="en-US" w:eastAsia="zh-CN" w:bidi="ar-SA"/>
        </w:rPr>
        <w:t>三、</w:t>
      </w:r>
      <w:r>
        <w:rPr>
          <w:rFonts w:hint="eastAsia" w:ascii="宋体" w:hAnsi="宋体" w:eastAsia="黑体" w:cs="黑体"/>
          <w:sz w:val="32"/>
          <w:szCs w:val="32"/>
          <w:highlight w:val="none"/>
          <w:lang w:val="en-US" w:eastAsia="zh-CN"/>
        </w:rPr>
        <w:t>课题管理</w:t>
      </w:r>
    </w:p>
    <w:p w14:paraId="7648C8A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我部对申报材料进行初审</w:t>
      </w:r>
      <w:r>
        <w:rPr>
          <w:rFonts w:hint="default" w:ascii="宋体" w:hAnsi="宋体" w:eastAsia="仿宋_GB2312" w:cs="仿宋_GB2312"/>
          <w:sz w:val="32"/>
          <w:szCs w:val="32"/>
          <w:highlight w:val="none"/>
          <w:lang w:eastAsia="zh-CN"/>
        </w:rPr>
        <w:t>后</w:t>
      </w:r>
      <w:r>
        <w:rPr>
          <w:rFonts w:hint="eastAsia" w:ascii="宋体" w:hAnsi="宋体" w:eastAsia="仿宋_GB2312" w:cs="仿宋_GB2312"/>
          <w:sz w:val="32"/>
          <w:szCs w:val="32"/>
          <w:highlight w:val="none"/>
          <w:lang w:val="en-US" w:eastAsia="zh-CN"/>
        </w:rPr>
        <w:t>，</w:t>
      </w:r>
      <w:r>
        <w:rPr>
          <w:rFonts w:hint="eastAsia" w:ascii="宋体" w:hAnsi="宋体" w:eastAsia="仿宋_GB2312" w:cs="仿宋_GB2312"/>
          <w:sz w:val="32"/>
          <w:szCs w:val="32"/>
          <w:highlight w:val="none"/>
          <w:lang w:eastAsia="zh-CN"/>
        </w:rPr>
        <w:t>组成</w:t>
      </w:r>
      <w:r>
        <w:rPr>
          <w:rFonts w:hint="eastAsia" w:ascii="宋体" w:hAnsi="宋体" w:eastAsia="仿宋_GB2312" w:cs="仿宋_GB2312"/>
          <w:sz w:val="32"/>
          <w:szCs w:val="32"/>
          <w:highlight w:val="none"/>
          <w:lang w:val="en-US" w:eastAsia="zh-CN"/>
        </w:rPr>
        <w:t>专家评审组对通过初审的申报材料进行立项评审，择优确定</w:t>
      </w:r>
      <w:r>
        <w:rPr>
          <w:rFonts w:hint="default" w:ascii="宋体" w:hAnsi="宋体" w:eastAsia="仿宋_GB2312" w:cs="仿宋_GB2312"/>
          <w:sz w:val="32"/>
          <w:szCs w:val="32"/>
          <w:highlight w:val="none"/>
          <w:lang w:eastAsia="zh-CN"/>
        </w:rPr>
        <w:t>课题</w:t>
      </w:r>
      <w:r>
        <w:rPr>
          <w:rFonts w:hint="eastAsia" w:ascii="宋体" w:hAnsi="宋体" w:eastAsia="仿宋_GB2312" w:cs="仿宋_GB2312"/>
          <w:sz w:val="32"/>
          <w:szCs w:val="32"/>
          <w:highlight w:val="none"/>
          <w:lang w:val="en-US" w:eastAsia="zh-CN"/>
        </w:rPr>
        <w:t>承担单位和课题负责人</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lang w:val="en-US" w:eastAsia="zh-CN"/>
        </w:rPr>
        <w:t>印发立项通知并</w:t>
      </w:r>
      <w:r>
        <w:rPr>
          <w:rFonts w:hint="default" w:ascii="宋体" w:hAnsi="宋体" w:eastAsia="仿宋_GB2312" w:cs="仿宋_GB2312"/>
          <w:sz w:val="32"/>
          <w:szCs w:val="32"/>
          <w:highlight w:val="none"/>
          <w:lang w:eastAsia="zh-CN"/>
        </w:rPr>
        <w:t>组织</w:t>
      </w:r>
      <w:r>
        <w:rPr>
          <w:rFonts w:hint="eastAsia" w:ascii="宋体" w:hAnsi="宋体" w:eastAsia="仿宋_GB2312" w:cs="仿宋_GB2312"/>
          <w:sz w:val="32"/>
          <w:szCs w:val="32"/>
          <w:highlight w:val="none"/>
          <w:lang w:val="en-US" w:eastAsia="zh-CN"/>
        </w:rPr>
        <w:t>签订项目任务书。</w:t>
      </w:r>
    </w:p>
    <w:p w14:paraId="5A203C1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我部对项目实施进行跟踪管理，组织开展中期调度</w:t>
      </w:r>
      <w:r>
        <w:rPr>
          <w:rFonts w:hint="default" w:ascii="宋体" w:hAnsi="宋体" w:eastAsia="仿宋_GB2312" w:cs="仿宋_GB2312"/>
          <w:sz w:val="32"/>
          <w:szCs w:val="32"/>
          <w:highlight w:val="none"/>
          <w:lang w:eastAsia="zh-CN"/>
        </w:rPr>
        <w:t>，必要时对</w:t>
      </w:r>
      <w:r>
        <w:rPr>
          <w:rFonts w:hint="eastAsia" w:ascii="宋体" w:hAnsi="宋体" w:eastAsia="仿宋_GB2312" w:cs="仿宋_GB2312"/>
          <w:sz w:val="32"/>
          <w:szCs w:val="32"/>
          <w:highlight w:val="none"/>
          <w:lang w:val="en-US" w:eastAsia="zh-CN"/>
        </w:rPr>
        <w:t>课题予以中止、撤销和调整。组成专家评审组对课题研究成果进行验收评审，评审结果以书面方式通知课题承担单位和课题负责人。</w:t>
      </w:r>
    </w:p>
    <w:p w14:paraId="6903A7A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w:t>
      </w:r>
      <w:r>
        <w:rPr>
          <w:rFonts w:hint="default" w:ascii="宋体" w:hAnsi="宋体" w:eastAsia="仿宋_GB2312" w:cs="仿宋_GB2312"/>
          <w:sz w:val="32"/>
          <w:szCs w:val="32"/>
          <w:highlight w:val="none"/>
          <w:lang w:val="en-US" w:eastAsia="zh-CN"/>
        </w:rPr>
        <w:t>深化高校、科研院所收入分配改革</w:t>
      </w:r>
      <w:r>
        <w:rPr>
          <w:rFonts w:hint="eastAsia" w:ascii="宋体" w:hAnsi="宋体" w:eastAsia="仿宋_GB2312" w:cs="仿宋_GB2312"/>
          <w:sz w:val="32"/>
          <w:szCs w:val="32"/>
          <w:highlight w:val="none"/>
          <w:lang w:val="en-US" w:eastAsia="zh-CN"/>
        </w:rPr>
        <w:t>研究”课题需在2026年12月底前完成，其余课题计划完成时间均为2025年12月底前，特殊情况需要延期的需报我部同意。</w:t>
      </w:r>
    </w:p>
    <w:p w14:paraId="1866A1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宋体" w:hAnsi="宋体" w:eastAsia="仿宋_GB2312" w:cs="仿宋_GB2312"/>
          <w:b w:val="0"/>
          <w:bCs w:val="0"/>
          <w:sz w:val="32"/>
          <w:szCs w:val="32"/>
          <w:highlight w:val="none"/>
          <w:lang w:val="en-US" w:eastAsia="zh-CN"/>
        </w:rPr>
      </w:pPr>
      <w:r>
        <w:rPr>
          <w:rFonts w:hint="eastAsia" w:ascii="宋体" w:hAnsi="宋体" w:eastAsia="黑体" w:cs="黑体"/>
          <w:b w:val="0"/>
          <w:bCs w:val="0"/>
          <w:kern w:val="2"/>
          <w:sz w:val="32"/>
          <w:szCs w:val="32"/>
          <w:highlight w:val="none"/>
          <w:lang w:val="en-US" w:eastAsia="zh-CN" w:bidi="ar-SA"/>
        </w:rPr>
        <w:t>四、</w:t>
      </w:r>
      <w:r>
        <w:rPr>
          <w:rFonts w:hint="eastAsia" w:ascii="宋体" w:hAnsi="宋体" w:eastAsia="黑体" w:cs="黑体"/>
          <w:b w:val="0"/>
          <w:bCs w:val="0"/>
          <w:sz w:val="32"/>
          <w:szCs w:val="32"/>
          <w:highlight w:val="none"/>
          <w:lang w:val="en-US" w:eastAsia="zh-CN"/>
        </w:rPr>
        <w:t>成果要求</w:t>
      </w:r>
    </w:p>
    <w:p w14:paraId="631633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（一）</w:t>
      </w:r>
      <w:r>
        <w:rPr>
          <w:rFonts w:hint="eastAsia" w:ascii="宋体" w:hAnsi="宋体" w:eastAsia="仿宋_GB2312" w:cs="仿宋_GB2312"/>
          <w:sz w:val="32"/>
          <w:szCs w:val="32"/>
          <w:highlight w:val="none"/>
          <w:lang w:val="en-US" w:eastAsia="zh-CN"/>
        </w:rPr>
        <w:t>课题最终成果为不少于2万字的研究报告，要求政治立场坚定，主题鲜明，论点突出，论述有据，政策建议具有针对性、适用性和可操作性，体现理论价值和实践指导意义。</w:t>
      </w:r>
    </w:p>
    <w:p w14:paraId="39B19A6A">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（二）我部拥有课题研究成果的处置权，</w:t>
      </w:r>
      <w:r>
        <w:rPr>
          <w:rFonts w:hint="eastAsia" w:ascii="宋体" w:hAnsi="宋体" w:eastAsia="仿宋_GB2312" w:cs="仿宋_GB2312"/>
          <w:sz w:val="32"/>
          <w:szCs w:val="32"/>
          <w:highlight w:val="none"/>
          <w:lang w:val="en-US" w:eastAsia="zh-CN"/>
        </w:rPr>
        <w:t>课题研究成果如公开发表、出版、报送等，需征得我部同意，并在显著位置标注“人力资源社会保障部重大课题”字样。</w:t>
      </w:r>
    </w:p>
    <w:p w14:paraId="688D672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黑体" w:cs="黑体"/>
          <w:sz w:val="32"/>
          <w:szCs w:val="32"/>
          <w:highlight w:val="none"/>
          <w:lang w:val="en-US" w:eastAsia="zh-CN"/>
        </w:rPr>
      </w:pPr>
      <w:r>
        <w:rPr>
          <w:rFonts w:hint="eastAsia" w:ascii="宋体" w:hAnsi="宋体" w:eastAsia="黑体" w:cs="黑体"/>
          <w:sz w:val="32"/>
          <w:szCs w:val="32"/>
          <w:highlight w:val="none"/>
          <w:lang w:val="en-US" w:eastAsia="zh-CN"/>
        </w:rPr>
        <w:t>五、经费管理</w:t>
      </w:r>
    </w:p>
    <w:p w14:paraId="7A9376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（一）</w:t>
      </w:r>
      <w:r>
        <w:rPr>
          <w:rFonts w:hint="eastAsia" w:ascii="宋体" w:hAnsi="宋体" w:eastAsia="仿宋_GB2312" w:cs="仿宋_GB2312"/>
          <w:sz w:val="32"/>
          <w:szCs w:val="32"/>
          <w:highlight w:val="none"/>
          <w:lang w:val="en-US" w:eastAsia="zh-CN"/>
        </w:rPr>
        <w:t>我部对课题提供经费支持，每项课题不超过25万元，分两次拨付至课题承担单位银行账户，签订项目任务书后拨付70%，课题通过结项验收后拨付30%。各承担单位应积极配套资金支持课题研究。</w:t>
      </w:r>
    </w:p>
    <w:p w14:paraId="54FEDDBE">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（二）</w:t>
      </w:r>
      <w:r>
        <w:rPr>
          <w:rFonts w:hint="eastAsia" w:ascii="宋体" w:hAnsi="宋体" w:eastAsia="仿宋_GB2312" w:cs="仿宋_GB2312"/>
          <w:sz w:val="32"/>
          <w:szCs w:val="32"/>
          <w:highlight w:val="none"/>
          <w:lang w:val="en-US" w:eastAsia="zh-CN"/>
        </w:rPr>
        <w:t>课题承担单位负责经费使用的监督管理，课题负责人应严格按有关规定使用经费，自觉接受有关部门的监督检查，并对课题经费使用的真实性、合法性和有效性负责。</w:t>
      </w:r>
    </w:p>
    <w:p w14:paraId="3448D94B">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0"/>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六、联系方式</w:t>
      </w:r>
    </w:p>
    <w:p w14:paraId="108232F1">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联系人：康婷婷  陈一然</w:t>
      </w:r>
    </w:p>
    <w:p w14:paraId="262D52A2">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textAlignment w:val="auto"/>
        <w:rPr>
          <w:rFonts w:hint="default" w:ascii="宋体" w:hAnsi="宋体" w:eastAsia="仿宋_GB2312" w:cs="仿宋_GB2312"/>
          <w:sz w:val="32"/>
          <w:szCs w:val="32"/>
          <w:highlight w:val="none"/>
          <w:lang w:val="en" w:eastAsia="zh-CN"/>
        </w:rPr>
      </w:pPr>
      <w:r>
        <w:rPr>
          <w:rFonts w:hint="eastAsia" w:ascii="宋体" w:hAnsi="宋体" w:eastAsia="仿宋_GB2312" w:cs="仿宋_GB2312"/>
          <w:sz w:val="32"/>
          <w:szCs w:val="32"/>
          <w:highlight w:val="none"/>
          <w:lang w:val="en-US" w:eastAsia="zh-CN"/>
        </w:rPr>
        <w:t>联系电话：010-</w:t>
      </w:r>
      <w:r>
        <w:rPr>
          <w:rFonts w:hint="default" w:ascii="宋体" w:hAnsi="宋体" w:eastAsia="仿宋_GB2312" w:cs="仿宋_GB2312"/>
          <w:sz w:val="32"/>
          <w:szCs w:val="32"/>
          <w:highlight w:val="none"/>
          <w:lang w:val="en" w:eastAsia="zh-CN"/>
        </w:rPr>
        <w:t>84233601 84233640</w:t>
      </w:r>
    </w:p>
    <w:p w14:paraId="0DFB87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0" w:leftChars="0" w:hanging="1600" w:hangingChars="5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 xml:space="preserve">    联系地址：北京市东城区和平里东街3号人力资源社会    </w:t>
      </w:r>
    </w:p>
    <w:p w14:paraId="092883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0" w:leftChars="0" w:hanging="1600" w:hangingChars="5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 xml:space="preserve">             </w:t>
      </w:r>
      <w:r>
        <w:rPr>
          <w:rFonts w:hint="default" w:ascii="宋体" w:hAnsi="宋体" w:eastAsia="仿宋_GB2312" w:cs="仿宋_GB2312"/>
          <w:sz w:val="32"/>
          <w:szCs w:val="32"/>
          <w:highlight w:val="none"/>
          <w:lang w:val="en" w:eastAsia="zh-CN"/>
        </w:rPr>
        <w:t xml:space="preserve"> </w:t>
      </w:r>
      <w:r>
        <w:rPr>
          <w:rFonts w:hint="eastAsia" w:ascii="宋体" w:hAnsi="宋体" w:eastAsia="仿宋_GB2312" w:cs="仿宋_GB2312"/>
          <w:sz w:val="32"/>
          <w:szCs w:val="32"/>
          <w:highlight w:val="none"/>
          <w:lang w:val="en-US" w:eastAsia="zh-CN"/>
        </w:rPr>
        <w:t>保障部规划财务司科技和审计处</w:t>
      </w:r>
    </w:p>
    <w:p w14:paraId="58B832AA">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电子邮箱：rsbzdkt2025@126.com</w:t>
      </w:r>
    </w:p>
    <w:p w14:paraId="28EFBB13">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邮    编：100013</w:t>
      </w:r>
    </w:p>
    <w:p w14:paraId="3C39E70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黑体" w:cs="黑体"/>
          <w:sz w:val="32"/>
          <w:szCs w:val="32"/>
          <w:highlight w:val="none"/>
          <w:lang w:val="en-US" w:eastAsia="zh-CN"/>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6DAB98-6F22-4DD8-9481-773B85ED9B6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0F93BBB9-640E-45A7-80E5-FCB2D110FC28}"/>
  </w:font>
  <w:font w:name="楷体">
    <w:panose1 w:val="02010609060101010101"/>
    <w:charset w:val="86"/>
    <w:family w:val="auto"/>
    <w:pitch w:val="default"/>
    <w:sig w:usb0="800002BF" w:usb1="38CF7CFA" w:usb2="00000016" w:usb3="00000000" w:csb0="00040001" w:csb1="00000000"/>
    <w:embedRegular r:id="rId3" w:fontKey="{1D928C86-1074-4220-ADA2-FA4738D8A3C6}"/>
  </w:font>
  <w:font w:name="仿宋_GB2312">
    <w:altName w:val="仿宋"/>
    <w:panose1 w:val="02010609030101010101"/>
    <w:charset w:val="86"/>
    <w:family w:val="auto"/>
    <w:pitch w:val="default"/>
    <w:sig w:usb0="00000000" w:usb1="00000000" w:usb2="00000000" w:usb3="00000000" w:csb0="00040000" w:csb1="00000000"/>
    <w:embedRegular r:id="rId4" w:fontKey="{F52268CF-849D-4B60-9024-AB89EF12AA2A}"/>
  </w:font>
  <w:font w:name="仿宋">
    <w:panose1 w:val="02010609060101010101"/>
    <w:charset w:val="86"/>
    <w:family w:val="modern"/>
    <w:pitch w:val="default"/>
    <w:sig w:usb0="800002BF" w:usb1="38CF7CFA" w:usb2="00000016" w:usb3="00000000" w:csb0="00040001" w:csb1="00000000"/>
    <w:embedRegular r:id="rId5" w:fontKey="{DF2ECAE3-A02B-4605-8092-D5048EA1A2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FA05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937FD1">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A937FD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12794"/>
    <w:multiLevelType w:val="singleLevel"/>
    <w:tmpl w:val="832127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YTQ3ZDMxMTc0MGE3Mjc2ZjYzMjYyODcwZTAwMTAifQ=="/>
  </w:docVars>
  <w:rsids>
    <w:rsidRoot w:val="533C5857"/>
    <w:rsid w:val="057600E5"/>
    <w:rsid w:val="07EA70C4"/>
    <w:rsid w:val="08697FC7"/>
    <w:rsid w:val="0DCC7679"/>
    <w:rsid w:val="1B97024D"/>
    <w:rsid w:val="1E7672D4"/>
    <w:rsid w:val="1F75D676"/>
    <w:rsid w:val="1FB7E3DE"/>
    <w:rsid w:val="1FDF13AD"/>
    <w:rsid w:val="22EB7312"/>
    <w:rsid w:val="276BBB2D"/>
    <w:rsid w:val="2CEFD0C1"/>
    <w:rsid w:val="2F9F915A"/>
    <w:rsid w:val="2FBD7453"/>
    <w:rsid w:val="2FFB483D"/>
    <w:rsid w:val="34517AE6"/>
    <w:rsid w:val="34620179"/>
    <w:rsid w:val="35DEC63E"/>
    <w:rsid w:val="37FA086A"/>
    <w:rsid w:val="38FE3FF5"/>
    <w:rsid w:val="3B5F8385"/>
    <w:rsid w:val="3D5D4B11"/>
    <w:rsid w:val="3D772A30"/>
    <w:rsid w:val="3FBE6050"/>
    <w:rsid w:val="4AF62333"/>
    <w:rsid w:val="4F263E0C"/>
    <w:rsid w:val="4F2B4499"/>
    <w:rsid w:val="4F77356E"/>
    <w:rsid w:val="4FAC4115"/>
    <w:rsid w:val="552B8A32"/>
    <w:rsid w:val="55391545"/>
    <w:rsid w:val="55DF8E59"/>
    <w:rsid w:val="55FF78AB"/>
    <w:rsid w:val="56F35389"/>
    <w:rsid w:val="56FF9FF4"/>
    <w:rsid w:val="571DA1D4"/>
    <w:rsid w:val="579D4C0A"/>
    <w:rsid w:val="57AED1FD"/>
    <w:rsid w:val="57FAE21A"/>
    <w:rsid w:val="5B2F1E2A"/>
    <w:rsid w:val="5BCE8790"/>
    <w:rsid w:val="5BF7A945"/>
    <w:rsid w:val="5DFEEAAD"/>
    <w:rsid w:val="5ECFC8D4"/>
    <w:rsid w:val="5EF6C032"/>
    <w:rsid w:val="5F2F298B"/>
    <w:rsid w:val="5F9F9097"/>
    <w:rsid w:val="5FAA3805"/>
    <w:rsid w:val="5FCBD4A5"/>
    <w:rsid w:val="5FF7412D"/>
    <w:rsid w:val="5FFFE92D"/>
    <w:rsid w:val="62EBC77E"/>
    <w:rsid w:val="637B8D7C"/>
    <w:rsid w:val="65DF571C"/>
    <w:rsid w:val="677516A0"/>
    <w:rsid w:val="67FB0C8E"/>
    <w:rsid w:val="6A7B95F3"/>
    <w:rsid w:val="6AAF5ABA"/>
    <w:rsid w:val="6AFFD132"/>
    <w:rsid w:val="6BEE1F1B"/>
    <w:rsid w:val="6CB7B8F0"/>
    <w:rsid w:val="6F2DF126"/>
    <w:rsid w:val="6F7F941D"/>
    <w:rsid w:val="6F7FBFE0"/>
    <w:rsid w:val="6FBE2B19"/>
    <w:rsid w:val="6FCF6995"/>
    <w:rsid w:val="6FDF3291"/>
    <w:rsid w:val="6FF52093"/>
    <w:rsid w:val="6FFBA32C"/>
    <w:rsid w:val="73F72A63"/>
    <w:rsid w:val="747420CC"/>
    <w:rsid w:val="7593CD7F"/>
    <w:rsid w:val="75FD889D"/>
    <w:rsid w:val="75FEB337"/>
    <w:rsid w:val="763EDBA1"/>
    <w:rsid w:val="77AE9664"/>
    <w:rsid w:val="77F9EE2A"/>
    <w:rsid w:val="77FB8A55"/>
    <w:rsid w:val="77FE0B53"/>
    <w:rsid w:val="77FEA03B"/>
    <w:rsid w:val="77FFC178"/>
    <w:rsid w:val="795816BE"/>
    <w:rsid w:val="79CA6BC8"/>
    <w:rsid w:val="7A2771FE"/>
    <w:rsid w:val="7ADDCB72"/>
    <w:rsid w:val="7AFB876C"/>
    <w:rsid w:val="7B5D8295"/>
    <w:rsid w:val="7BBACE04"/>
    <w:rsid w:val="7BBD4F09"/>
    <w:rsid w:val="7BBEFC79"/>
    <w:rsid w:val="7BEC475A"/>
    <w:rsid w:val="7BF783C1"/>
    <w:rsid w:val="7BFE97B2"/>
    <w:rsid w:val="7C7FADA0"/>
    <w:rsid w:val="7CDBAE95"/>
    <w:rsid w:val="7CEE3ADD"/>
    <w:rsid w:val="7D6BFA28"/>
    <w:rsid w:val="7D7F8EA7"/>
    <w:rsid w:val="7DEFC68D"/>
    <w:rsid w:val="7DF50A36"/>
    <w:rsid w:val="7DFB7122"/>
    <w:rsid w:val="7DFECD24"/>
    <w:rsid w:val="7E739C7C"/>
    <w:rsid w:val="7E7B87FA"/>
    <w:rsid w:val="7E7F103A"/>
    <w:rsid w:val="7EDFDB73"/>
    <w:rsid w:val="7EEFC8E4"/>
    <w:rsid w:val="7EFD3A14"/>
    <w:rsid w:val="7F175CD7"/>
    <w:rsid w:val="7F379A38"/>
    <w:rsid w:val="7F77B0BE"/>
    <w:rsid w:val="7F7F0315"/>
    <w:rsid w:val="7F7FBF1F"/>
    <w:rsid w:val="7F8D9DCE"/>
    <w:rsid w:val="7FD77366"/>
    <w:rsid w:val="7FD7CF82"/>
    <w:rsid w:val="7FD9F43F"/>
    <w:rsid w:val="7FDFD93F"/>
    <w:rsid w:val="7FE7074E"/>
    <w:rsid w:val="7FED95D7"/>
    <w:rsid w:val="7FF261D9"/>
    <w:rsid w:val="7FF5DB4E"/>
    <w:rsid w:val="7FF794AD"/>
    <w:rsid w:val="7FFAF93A"/>
    <w:rsid w:val="7FFC491A"/>
    <w:rsid w:val="7FFEE4DD"/>
    <w:rsid w:val="7FFF5BBC"/>
    <w:rsid w:val="7FFF62D5"/>
    <w:rsid w:val="81FE7CE6"/>
    <w:rsid w:val="97B38972"/>
    <w:rsid w:val="9FB1F3C5"/>
    <w:rsid w:val="9FFD39C3"/>
    <w:rsid w:val="9FFF1F41"/>
    <w:rsid w:val="A27FC6CF"/>
    <w:rsid w:val="A7DF1EF1"/>
    <w:rsid w:val="ABBCC86D"/>
    <w:rsid w:val="AEFB4506"/>
    <w:rsid w:val="B3BD7776"/>
    <w:rsid w:val="B5EFFCD0"/>
    <w:rsid w:val="B61F5A6B"/>
    <w:rsid w:val="B7EDE07A"/>
    <w:rsid w:val="B9FFE0C5"/>
    <w:rsid w:val="BA7F6EED"/>
    <w:rsid w:val="BBA7D882"/>
    <w:rsid w:val="BBBDFF4D"/>
    <w:rsid w:val="BBDC4B72"/>
    <w:rsid w:val="BBFF3B3E"/>
    <w:rsid w:val="BDBD70BE"/>
    <w:rsid w:val="BDBE24D3"/>
    <w:rsid w:val="BED9888F"/>
    <w:rsid w:val="BF7D8330"/>
    <w:rsid w:val="BF7D9B5E"/>
    <w:rsid w:val="BFEF5797"/>
    <w:rsid w:val="BFF524CB"/>
    <w:rsid w:val="BFFD2B56"/>
    <w:rsid w:val="BFFF78C9"/>
    <w:rsid w:val="C6DB1D01"/>
    <w:rsid w:val="C73F32DC"/>
    <w:rsid w:val="C77FDD2D"/>
    <w:rsid w:val="CB0EAAF4"/>
    <w:rsid w:val="CD7FFE00"/>
    <w:rsid w:val="D27F06C6"/>
    <w:rsid w:val="D2CADA2C"/>
    <w:rsid w:val="D4AB4BDC"/>
    <w:rsid w:val="D5FFE6A4"/>
    <w:rsid w:val="D777F279"/>
    <w:rsid w:val="D7D7A0DB"/>
    <w:rsid w:val="D7FA6FC7"/>
    <w:rsid w:val="DBFCC98D"/>
    <w:rsid w:val="DE4D0063"/>
    <w:rsid w:val="DF4F92A2"/>
    <w:rsid w:val="DF77854B"/>
    <w:rsid w:val="DFDF6D60"/>
    <w:rsid w:val="DFEF1DB2"/>
    <w:rsid w:val="DFF56D10"/>
    <w:rsid w:val="DFFE188A"/>
    <w:rsid w:val="E2B8FF8E"/>
    <w:rsid w:val="E3FF46D6"/>
    <w:rsid w:val="E56FFD98"/>
    <w:rsid w:val="E5F5F858"/>
    <w:rsid w:val="E7C5901B"/>
    <w:rsid w:val="E9EB789D"/>
    <w:rsid w:val="EAE7DF13"/>
    <w:rsid w:val="EAFA3B77"/>
    <w:rsid w:val="EAFBD562"/>
    <w:rsid w:val="EBEE4F88"/>
    <w:rsid w:val="EF1D9095"/>
    <w:rsid w:val="EF8704AD"/>
    <w:rsid w:val="EFEFBAC6"/>
    <w:rsid w:val="F26F5B41"/>
    <w:rsid w:val="F3A8860D"/>
    <w:rsid w:val="F3FDD8C7"/>
    <w:rsid w:val="F4DFFED0"/>
    <w:rsid w:val="F77BCEBA"/>
    <w:rsid w:val="F79EE407"/>
    <w:rsid w:val="F7EF9F2B"/>
    <w:rsid w:val="F7F3BBEE"/>
    <w:rsid w:val="F7F76923"/>
    <w:rsid w:val="F7FE61BA"/>
    <w:rsid w:val="F92AFF6B"/>
    <w:rsid w:val="FB699A23"/>
    <w:rsid w:val="FB7BDB9A"/>
    <w:rsid w:val="FBCE0A8B"/>
    <w:rsid w:val="FBD559C7"/>
    <w:rsid w:val="FBDB5E93"/>
    <w:rsid w:val="FBF3F661"/>
    <w:rsid w:val="FBF7B9D6"/>
    <w:rsid w:val="FBFFB92C"/>
    <w:rsid w:val="FCFD156A"/>
    <w:rsid w:val="FDAF3AF1"/>
    <w:rsid w:val="FDEEB789"/>
    <w:rsid w:val="FE77C5EF"/>
    <w:rsid w:val="FE9F78F3"/>
    <w:rsid w:val="FEC16031"/>
    <w:rsid w:val="FED79B1C"/>
    <w:rsid w:val="FEFB89BD"/>
    <w:rsid w:val="FF3FC252"/>
    <w:rsid w:val="FF5F5A75"/>
    <w:rsid w:val="FF772464"/>
    <w:rsid w:val="FF7EADCB"/>
    <w:rsid w:val="FF9BE614"/>
    <w:rsid w:val="FFA7D454"/>
    <w:rsid w:val="FFBBC8C7"/>
    <w:rsid w:val="FFC4C976"/>
    <w:rsid w:val="FFD86AB9"/>
    <w:rsid w:val="FFEF3579"/>
    <w:rsid w:val="FFFBA8FA"/>
    <w:rsid w:val="FFFE07CA"/>
    <w:rsid w:val="FFFF44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afterLines="0"/>
    </w:p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5"/>
    <w:basedOn w:val="1"/>
    <w:next w:val="1"/>
    <w:qFormat/>
    <w:uiPriority w:val="0"/>
    <w:pPr>
      <w:ind w:left="168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Normal Indent1"/>
    <w:basedOn w:val="1"/>
    <w:qFormat/>
    <w:uiPriority w:val="0"/>
    <w:pPr>
      <w:spacing w:line="660" w:lineRule="exact"/>
      <w:ind w:firstLine="720" w:firstLineChars="200"/>
    </w:pPr>
    <w:rPr>
      <w:rFonts w:eastAsia="楷体_GB2312"/>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3262</Words>
  <Characters>3327</Characters>
  <Lines>0</Lines>
  <Paragraphs>0</Paragraphs>
  <TotalTime>418</TotalTime>
  <ScaleCrop>false</ScaleCrop>
  <LinksUpToDate>false</LinksUpToDate>
  <CharactersWithSpaces>3369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2024-04-04T09:49:00Z</dcterms:created>
  <dc:creator>yuanyz</dc:creator>
  <cp:lastModifiedBy>何智</cp:lastModifiedBy>
  <cp:lastPrinted>2025-02-12T17:11:00Z</cp:lastPrinted>
  <dcterms:modified xsi:type="dcterms:W3CDTF">2025-02-17T08:21:46Z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BCC86B7925D74E5CB40373654C158979_12</vt:lpwstr>
  </property>
  <property fmtid="{D5CDD505-2E9C-101B-9397-08002B2CF9AE}" pid="4" name="KSOTemplateDocerSaveRecord">
    <vt:lpwstr>eyJoZGlkIjoiZGQ2YWVjYjhhZDM4ZWMzZDI3NDU1OWI1ODA5MjI3YzgiLCJ1c2VySWQiOiIyNTU2MTk2MjAifQ==</vt:lpwstr>
  </property>
</Properties>
</file>