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cs="宋体"/>
          <w:b/>
          <w:sz w:val="32"/>
          <w:szCs w:val="18"/>
        </w:rPr>
      </w:pPr>
      <w:bookmarkStart w:id="0" w:name="_Toc3012"/>
      <w:r>
        <w:rPr>
          <w:rFonts w:hint="eastAsia" w:ascii="宋体" w:hAnsi="宋体" w:cs="宋体"/>
          <w:b/>
          <w:sz w:val="32"/>
          <w:szCs w:val="18"/>
        </w:rPr>
        <w:t>采购需求</w:t>
      </w:r>
      <w:bookmarkEnd w:id="0"/>
      <w:bookmarkStart w:id="4" w:name="_GoBack"/>
      <w:bookmarkEnd w:id="4"/>
    </w:p>
    <w:p>
      <w:pPr>
        <w:pStyle w:val="6"/>
        <w:snapToGrid w:val="0"/>
        <w:spacing w:line="360" w:lineRule="exact"/>
        <w:outlineLvl w:val="0"/>
        <w:rPr>
          <w:rFonts w:hint="eastAsia" w:hAnsi="宋体" w:cs="宋体"/>
          <w:b/>
          <w:bCs/>
          <w:sz w:val="22"/>
        </w:rPr>
      </w:pPr>
      <w:bookmarkStart w:id="1" w:name="_Toc29640"/>
      <w:r>
        <w:rPr>
          <w:rFonts w:hint="eastAsia" w:hAnsi="宋体" w:cs="宋体"/>
          <w:b/>
          <w:bCs/>
          <w:sz w:val="22"/>
        </w:rPr>
        <w:t>一、项目概述</w:t>
      </w:r>
    </w:p>
    <w:p>
      <w:pPr>
        <w:pStyle w:val="6"/>
        <w:snapToGrid w:val="0"/>
        <w:spacing w:line="360" w:lineRule="exact"/>
        <w:ind w:firstLine="440" w:firstLineChars="200"/>
        <w:outlineLvl w:val="0"/>
        <w:rPr>
          <w:rFonts w:hint="eastAsia" w:hAnsi="宋体" w:cs="宋体"/>
          <w:b/>
          <w:bCs/>
          <w:sz w:val="22"/>
        </w:rPr>
      </w:pPr>
      <w:r>
        <w:rPr>
          <w:rFonts w:hint="eastAsia" w:hAnsi="宋体" w:cs="宋体"/>
          <w:sz w:val="22"/>
        </w:rPr>
        <w:t>教育信息化发展的现状，学校双语课程等教学建设项目，对教材的交互性提出了更高要求。本项目聚焦纸质教材以及数字教材的全流程出版，旨在通过“纸质载体+数字赋能”的融合模式，打造兼顾权威性、实用性与互动性的双语教学资源体系。项目建成后，将形成数字教材和纸质教材共同展开的多种媒体资源、直接服务于日常教学，通过“纸质+数字”的资源融合，既保留传统教材的权威性与沉浸式阅读体验，又创新研发数字教材，借助数字化工具高效展开双语教学，是提升人才培养质量和学校数字化办学水平的重要举措。</w:t>
      </w:r>
    </w:p>
    <w:p>
      <w:pPr>
        <w:pStyle w:val="6"/>
        <w:snapToGrid w:val="0"/>
        <w:spacing w:line="360" w:lineRule="exact"/>
        <w:outlineLvl w:val="0"/>
        <w:rPr>
          <w:rFonts w:hint="eastAsia" w:hAnsi="宋体" w:cs="宋体"/>
          <w:b/>
          <w:bCs/>
          <w:sz w:val="22"/>
        </w:rPr>
      </w:pPr>
      <w:r>
        <w:rPr>
          <w:rFonts w:hint="eastAsia" w:hAnsi="宋体" w:cs="宋体"/>
          <w:b/>
          <w:bCs/>
          <w:sz w:val="22"/>
        </w:rPr>
        <w:t>二、采购清单</w:t>
      </w:r>
      <w:bookmarkEnd w:id="1"/>
    </w:p>
    <w:tbl>
      <w:tblPr>
        <w:tblStyle w:val="8"/>
        <w:tblW w:w="4218" w:type="pct"/>
        <w:jc w:val="center"/>
        <w:tblLayout w:type="autofit"/>
        <w:tblCellMar>
          <w:top w:w="0" w:type="dxa"/>
          <w:left w:w="108" w:type="dxa"/>
          <w:bottom w:w="0" w:type="dxa"/>
          <w:right w:w="108" w:type="dxa"/>
        </w:tblCellMar>
      </w:tblPr>
      <w:tblGrid>
        <w:gridCol w:w="1196"/>
        <w:gridCol w:w="4510"/>
        <w:gridCol w:w="1483"/>
      </w:tblGrid>
      <w:tr>
        <w:tblPrEx>
          <w:tblCellMar>
            <w:top w:w="0" w:type="dxa"/>
            <w:left w:w="108" w:type="dxa"/>
            <w:bottom w:w="0" w:type="dxa"/>
            <w:right w:w="108" w:type="dxa"/>
          </w:tblCellMar>
        </w:tblPrEx>
        <w:trPr>
          <w:trHeight w:val="454"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rPr>
            </w:pPr>
            <w:r>
              <w:rPr>
                <w:rFonts w:hint="eastAsia" w:ascii="宋体" w:hAnsi="宋体" w:cs="宋体"/>
                <w:sz w:val="22"/>
              </w:rPr>
              <w:t>内容</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sz w:val="22"/>
                <w:lang w:eastAsia="zh-CN"/>
              </w:rPr>
            </w:pPr>
            <w:r>
              <w:rPr>
                <w:rFonts w:hint="eastAsia" w:ascii="宋体" w:hAnsi="宋体" w:cs="宋体"/>
                <w:sz w:val="22"/>
                <w:lang w:val="en-US" w:eastAsia="zh-CN"/>
              </w:rPr>
              <w:t>种类</w:t>
            </w:r>
          </w:p>
        </w:tc>
      </w:tr>
      <w:tr>
        <w:tblPrEx>
          <w:tblCellMar>
            <w:top w:w="0" w:type="dxa"/>
            <w:left w:w="108" w:type="dxa"/>
            <w:bottom w:w="0" w:type="dxa"/>
            <w:right w:w="108" w:type="dxa"/>
          </w:tblCellMar>
        </w:tblPrEx>
        <w:trPr>
          <w:trHeight w:val="516"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1</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《中文+虚拟现实三维建模技术》数字教材建设</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1本</w:t>
            </w:r>
          </w:p>
        </w:tc>
      </w:tr>
      <w:tr>
        <w:tblPrEx>
          <w:tblCellMar>
            <w:top w:w="0" w:type="dxa"/>
            <w:left w:w="108" w:type="dxa"/>
            <w:bottom w:w="0" w:type="dxa"/>
            <w:right w:w="108" w:type="dxa"/>
          </w:tblCellMar>
        </w:tblPrEx>
        <w:trPr>
          <w:trHeight w:val="516"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2</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《知行温州：国际学生文化分级读本》纸质教材建设</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80" w:lineRule="exact"/>
              <w:jc w:val="center"/>
              <w:rPr>
                <w:rFonts w:hint="eastAsia" w:ascii="宋体" w:hAnsi="宋体" w:cs="宋体"/>
                <w:sz w:val="22"/>
                <w:highlight w:val="none"/>
              </w:rPr>
            </w:pPr>
            <w:r>
              <w:rPr>
                <w:rFonts w:hint="eastAsia" w:ascii="宋体" w:hAnsi="宋体" w:cs="宋体"/>
                <w:sz w:val="22"/>
                <w:highlight w:val="none"/>
              </w:rPr>
              <w:t>1本</w:t>
            </w:r>
          </w:p>
        </w:tc>
      </w:tr>
    </w:tbl>
    <w:p>
      <w:pPr>
        <w:snapToGrid w:val="0"/>
        <w:spacing w:line="360" w:lineRule="exact"/>
        <w:outlineLvl w:val="0"/>
        <w:rPr>
          <w:rFonts w:hint="eastAsia" w:ascii="宋体" w:hAnsi="宋体" w:cs="宋体"/>
          <w:b/>
          <w:bCs/>
          <w:spacing w:val="-6"/>
          <w:sz w:val="22"/>
          <w:highlight w:val="none"/>
        </w:rPr>
      </w:pPr>
      <w:bookmarkStart w:id="2" w:name="_Toc11956"/>
      <w:r>
        <w:rPr>
          <w:rFonts w:hint="eastAsia" w:ascii="宋体" w:hAnsi="宋体" w:cs="宋体"/>
          <w:b/>
          <w:bCs/>
          <w:sz w:val="22"/>
          <w:highlight w:val="none"/>
        </w:rPr>
        <w:t>三、</w:t>
      </w:r>
      <w:r>
        <w:rPr>
          <w:rFonts w:hint="eastAsia" w:ascii="宋体" w:hAnsi="宋体" w:cs="宋体"/>
          <w:b/>
          <w:bCs/>
          <w:spacing w:val="-6"/>
          <w:sz w:val="22"/>
          <w:highlight w:val="none"/>
        </w:rPr>
        <w:t>商务要求（技术要求里另有注明的以技术要求为准）</w:t>
      </w:r>
      <w:bookmarkEnd w:id="2"/>
    </w:p>
    <w:tbl>
      <w:tblPr>
        <w:tblStyle w:val="8"/>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4"/>
        <w:gridCol w:w="6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u w:val="single"/>
              </w:rPr>
            </w:pPr>
            <w:r>
              <w:rPr>
                <w:rFonts w:hint="eastAsia" w:ascii="宋体" w:hAnsi="宋体" w:cs="宋体"/>
                <w:b/>
                <w:bCs/>
                <w:sz w:val="22"/>
                <w:szCs w:val="22"/>
                <w:highlight w:val="none"/>
                <w:u w:val="single"/>
              </w:rPr>
              <w:t>▲付款方式</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rPr>
                <w:rFonts w:hint="eastAsia" w:ascii="宋体" w:hAnsi="宋体" w:cs="宋体"/>
                <w:b/>
                <w:bCs/>
                <w:sz w:val="22"/>
                <w:szCs w:val="22"/>
                <w:highlight w:val="none"/>
                <w:u w:val="single"/>
              </w:rPr>
            </w:pPr>
            <w:r>
              <w:rPr>
                <w:rFonts w:hint="eastAsia" w:ascii="宋体" w:hAnsi="宋体" w:cs="宋体"/>
                <w:sz w:val="22"/>
                <w:szCs w:val="22"/>
                <w:highlight w:val="none"/>
                <w:u w:val="single"/>
                <w:lang w:val="en-US" w:eastAsia="zh-CN"/>
              </w:rPr>
              <w:t>买方在合同签订以及</w:t>
            </w:r>
            <w:r>
              <w:rPr>
                <w:rFonts w:hint="eastAsia" w:ascii="宋体" w:hAnsi="宋体" w:cs="宋体"/>
                <w:sz w:val="22"/>
                <w:szCs w:val="22"/>
                <w:highlight w:val="none"/>
                <w:u w:val="single"/>
              </w:rPr>
              <w:t>具备实施条件后完成合同全部款项支付。</w:t>
            </w:r>
            <w:r>
              <w:rPr>
                <w:rFonts w:hint="eastAsia" w:ascii="宋体" w:hAnsi="宋体" w:cs="宋体"/>
                <w:sz w:val="22"/>
                <w:szCs w:val="22"/>
                <w:highlight w:val="none"/>
                <w:u w:val="single"/>
                <w:lang w:val="en-US" w:eastAsia="zh-CN"/>
              </w:rPr>
              <w:t>买方</w:t>
            </w:r>
            <w:r>
              <w:rPr>
                <w:rFonts w:hint="eastAsia" w:ascii="宋体" w:hAnsi="宋体" w:cs="宋体"/>
                <w:sz w:val="22"/>
                <w:szCs w:val="22"/>
                <w:highlight w:val="none"/>
                <w:u w:val="single"/>
              </w:rPr>
              <w:t>对于满足合同约定支付条件的，</w:t>
            </w:r>
            <w:r>
              <w:rPr>
                <w:rFonts w:hint="eastAsia" w:ascii="宋体" w:hAnsi="宋体" w:cs="宋体"/>
                <w:sz w:val="22"/>
                <w:szCs w:val="22"/>
                <w:highlight w:val="none"/>
                <w:u w:val="single"/>
                <w:lang w:eastAsia="zh-CN"/>
              </w:rPr>
              <w:t>自收到增值税正式发票后</w:t>
            </w:r>
            <w:r>
              <w:rPr>
                <w:rFonts w:hint="eastAsia" w:ascii="宋体" w:hAnsi="宋体" w:cs="宋体"/>
                <w:sz w:val="22"/>
                <w:szCs w:val="22"/>
                <w:highlight w:val="none"/>
                <w:u w:val="single"/>
              </w:rPr>
              <w:t>7个工作日内将资金支付到合同约定的</w:t>
            </w:r>
            <w:r>
              <w:rPr>
                <w:rFonts w:hint="eastAsia" w:ascii="宋体" w:hAnsi="宋体" w:cs="宋体"/>
                <w:sz w:val="22"/>
                <w:szCs w:val="22"/>
                <w:highlight w:val="none"/>
                <w:u w:val="single"/>
                <w:lang w:val="en-US" w:eastAsia="zh-CN"/>
              </w:rPr>
              <w:t>卖方</w:t>
            </w:r>
            <w:r>
              <w:rPr>
                <w:rFonts w:hint="eastAsia" w:ascii="宋体" w:hAnsi="宋体" w:cs="宋体"/>
                <w:sz w:val="22"/>
                <w:szCs w:val="22"/>
                <w:highlight w:val="none"/>
                <w:u w:val="single"/>
              </w:rPr>
              <w:t>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u w:val="single"/>
              </w:rPr>
            </w:pPr>
            <w:r>
              <w:rPr>
                <w:rFonts w:hint="eastAsia" w:ascii="宋体" w:hAnsi="宋体" w:cs="宋体"/>
                <w:sz w:val="22"/>
                <w:szCs w:val="22"/>
                <w:highlight w:val="none"/>
                <w:u w:val="single"/>
              </w:rPr>
              <w:t>▲</w:t>
            </w:r>
            <w:r>
              <w:rPr>
                <w:rFonts w:hint="eastAsia" w:ascii="宋体" w:hAnsi="宋体" w:cs="宋体"/>
                <w:b/>
                <w:bCs/>
                <w:sz w:val="22"/>
                <w:szCs w:val="22"/>
                <w:highlight w:val="none"/>
                <w:u w:val="single"/>
              </w:rPr>
              <w:t>服务质量保证期</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2"/>
                <w:szCs w:val="22"/>
                <w:highlight w:val="none"/>
                <w:u w:val="single"/>
              </w:rPr>
            </w:pPr>
            <w:r>
              <w:rPr>
                <w:rFonts w:hint="eastAsia" w:ascii="宋体" w:hAnsi="宋体" w:cs="宋体"/>
                <w:sz w:val="22"/>
                <w:szCs w:val="22"/>
                <w:highlight w:val="none"/>
                <w:u w:val="single"/>
              </w:rPr>
              <w:t>数字教材出版应用平台有效运转期不少于10年（自验收合格之日起算）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b/>
                <w:bCs/>
                <w:sz w:val="22"/>
                <w:szCs w:val="22"/>
                <w:highlight w:val="none"/>
              </w:rPr>
              <w:t>交付时间</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0" w:firstLineChars="0"/>
              <w:rPr>
                <w:rFonts w:hint="eastAsia" w:ascii="宋体" w:hAnsi="宋体" w:cs="宋体"/>
                <w:sz w:val="22"/>
                <w:szCs w:val="22"/>
                <w:highlight w:val="none"/>
              </w:rPr>
            </w:pPr>
            <w:r>
              <w:rPr>
                <w:rFonts w:hint="eastAsia" w:ascii="宋体" w:hAnsi="宋体" w:cs="宋体"/>
                <w:color w:val="000000"/>
                <w:kern w:val="0"/>
                <w:sz w:val="22"/>
                <w:szCs w:val="22"/>
                <w:highlight w:val="none"/>
                <w:lang w:eastAsia="zh-CN" w:bidi="ar"/>
              </w:rPr>
              <w:t>卖方</w:t>
            </w:r>
            <w:r>
              <w:rPr>
                <w:rFonts w:hint="eastAsia" w:ascii="宋体" w:hAnsi="宋体" w:cs="宋体"/>
                <w:color w:val="000000"/>
                <w:kern w:val="0"/>
                <w:sz w:val="22"/>
                <w:szCs w:val="22"/>
                <w:highlight w:val="none"/>
                <w:lang w:bidi="ar"/>
              </w:rPr>
              <w:t>须在合同签订后一年内完成本项目所有服务内容。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交付地点</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rPr>
                <w:rFonts w:hint="eastAsia" w:ascii="宋体" w:hAnsi="宋体" w:cs="宋体"/>
                <w:sz w:val="22"/>
                <w:szCs w:val="22"/>
              </w:rPr>
            </w:pPr>
            <w:r>
              <w:rPr>
                <w:rFonts w:hint="eastAsia" w:ascii="宋体" w:hAnsi="宋体" w:cs="宋体"/>
                <w:sz w:val="22"/>
                <w:szCs w:val="22"/>
              </w:rPr>
              <w:t>温州职业技术学院指定地点及数字教材平台。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服务标准</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1.质量保证期内服务要求</w:t>
            </w:r>
          </w:p>
          <w:p>
            <w:pPr>
              <w:spacing w:line="400" w:lineRule="exact"/>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1.1电话咨询</w:t>
            </w:r>
          </w:p>
          <w:p>
            <w:pPr>
              <w:spacing w:line="400" w:lineRule="exact"/>
              <w:ind w:firstLine="440" w:firstLineChars="200"/>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中标人应当为用户提供技术援助电话，解答用户在使用中遇到的问题，及时为用户提出解决问题的建议。</w:t>
            </w:r>
          </w:p>
          <w:p>
            <w:pPr>
              <w:spacing w:line="400" w:lineRule="exact"/>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1.2现场响应</w:t>
            </w:r>
          </w:p>
          <w:p>
            <w:pPr>
              <w:spacing w:line="400" w:lineRule="exact"/>
              <w:ind w:firstLine="440" w:firstLineChars="200"/>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用户遇到使用及技术问题，电话咨询不能解决的，中标人应在24小时内采取相应响应措施；无法在24小时内解决的，应在48小时内派出专业人员进行技术支持。</w:t>
            </w:r>
          </w:p>
          <w:p>
            <w:pPr>
              <w:spacing w:line="400" w:lineRule="exact"/>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1.3技术升级</w:t>
            </w:r>
          </w:p>
          <w:p>
            <w:pPr>
              <w:spacing w:line="400" w:lineRule="exact"/>
              <w:ind w:firstLine="440" w:firstLineChars="200"/>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在质保期内，如果中标人的产品技术升级，中标人应及时通知采购人，如采购人有相应要求，中标人应对采购人进行升级服务。</w:t>
            </w:r>
          </w:p>
          <w:p>
            <w:pPr>
              <w:spacing w:line="400" w:lineRule="exact"/>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2.质保期外服务要求</w:t>
            </w:r>
          </w:p>
          <w:p>
            <w:pPr>
              <w:spacing w:line="400" w:lineRule="exact"/>
              <w:jc w:val="left"/>
              <w:rPr>
                <w:rFonts w:hint="eastAsia" w:ascii="宋体" w:hAnsi="宋体" w:cs="宋体"/>
                <w:color w:val="000000"/>
                <w:sz w:val="22"/>
                <w:szCs w:val="22"/>
                <w:highlight w:val="none"/>
                <w:lang w:val="zh-CN"/>
              </w:rPr>
            </w:pPr>
            <w:r>
              <w:rPr>
                <w:rFonts w:hint="eastAsia" w:ascii="宋体" w:hAnsi="宋体" w:cs="宋体"/>
                <w:color w:val="000000"/>
                <w:sz w:val="22"/>
                <w:szCs w:val="22"/>
                <w:highlight w:val="none"/>
                <w:lang w:val="zh-CN"/>
              </w:rPr>
              <w:t>2.1质量保证期过后，中标人应同样提供免费电话咨询服务，并应承诺提供产品上门维护服务。</w:t>
            </w:r>
          </w:p>
          <w:p>
            <w:pPr>
              <w:spacing w:line="360" w:lineRule="exact"/>
              <w:jc w:val="left"/>
              <w:rPr>
                <w:rFonts w:hint="eastAsia" w:ascii="宋体" w:hAnsi="宋体" w:cs="宋体"/>
                <w:sz w:val="22"/>
                <w:szCs w:val="22"/>
                <w:highlight w:val="none"/>
              </w:rPr>
            </w:pPr>
            <w:r>
              <w:rPr>
                <w:rFonts w:hint="eastAsia" w:ascii="宋体" w:hAnsi="宋体" w:cs="宋体"/>
                <w:color w:val="000000"/>
                <w:sz w:val="22"/>
                <w:szCs w:val="22"/>
                <w:highlight w:val="none"/>
                <w:lang w:val="zh-CN"/>
              </w:rPr>
              <w:t>2.2质量保证期过后，采购人需要继续由原中标人提供售后服务的，中标人应以优惠价格提供售后服务。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服务效率</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sz w:val="22"/>
                <w:szCs w:val="22"/>
                <w:highlight w:val="none"/>
              </w:rPr>
            </w:pPr>
            <w:r>
              <w:rPr>
                <w:rFonts w:hint="eastAsia" w:ascii="宋体" w:hAnsi="宋体" w:cs="宋体"/>
                <w:sz w:val="22"/>
                <w:szCs w:val="22"/>
                <w:highlight w:val="none"/>
              </w:rPr>
              <w:t>如系统出现故障，电话响应无法解决，中标人必须在接到报修电话24小时到现场并解决问题。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sz w:val="22"/>
                <w:szCs w:val="22"/>
              </w:rPr>
            </w:pPr>
            <w:r>
              <w:rPr>
                <w:rFonts w:hint="eastAsia" w:ascii="宋体" w:hAnsi="宋体" w:cs="宋体"/>
                <w:b/>
                <w:bCs/>
                <w:sz w:val="22"/>
                <w:szCs w:val="22"/>
              </w:rPr>
              <w:t>验收标准</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1.验收标准应符合中国有关的国家、地方、行业的标准。</w:t>
            </w:r>
          </w:p>
          <w:p>
            <w:pPr>
              <w:widowControl/>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2.由采购人组织专家和用户代表或第三方机构，按照招标文件、合同条款、技术要求和实际应用效果对项目进行验收，因投标人原因导致验收未一次性通过，后期验收产生费用需由投标人承担。</w:t>
            </w:r>
          </w:p>
          <w:p>
            <w:pPr>
              <w:widowControl/>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3.验收时投标人应在现场，验收完毕后作出验收结果报告。</w:t>
            </w:r>
          </w:p>
          <w:p>
            <w:pPr>
              <w:widowControl/>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4.运行结果符合产品标准和技术规格及合同要求。</w:t>
            </w:r>
          </w:p>
          <w:p>
            <w:pPr>
              <w:widowControl/>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5.以上产生的费用由投标人承担。</w:t>
            </w:r>
          </w:p>
        </w:tc>
      </w:tr>
    </w:tbl>
    <w:p>
      <w:pPr>
        <w:snapToGrid w:val="0"/>
        <w:spacing w:line="360" w:lineRule="exact"/>
        <w:rPr>
          <w:rFonts w:hint="eastAsia" w:ascii="宋体" w:hAnsi="宋体" w:cs="宋体"/>
          <w:b/>
          <w:bCs/>
          <w:spacing w:val="-6"/>
          <w:sz w:val="22"/>
        </w:rPr>
      </w:pPr>
      <w:r>
        <w:rPr>
          <w:rFonts w:hint="eastAsia" w:ascii="宋体" w:hAnsi="宋体" w:cs="宋体"/>
          <w:b/>
          <w:bCs/>
          <w:spacing w:val="-6"/>
          <w:sz w:val="22"/>
        </w:rPr>
        <w:t>四、技术要求</w:t>
      </w:r>
    </w:p>
    <w:p>
      <w:pPr>
        <w:spacing w:line="360" w:lineRule="exact"/>
        <w:rPr>
          <w:rFonts w:hint="eastAsia" w:ascii="宋体" w:hAnsi="宋体" w:cs="宋体"/>
          <w:b/>
          <w:bCs/>
          <w:sz w:val="22"/>
        </w:rPr>
      </w:pPr>
      <w:r>
        <w:rPr>
          <w:rFonts w:hint="eastAsia" w:ascii="宋体" w:hAnsi="宋体" w:cs="宋体"/>
          <w:b/>
          <w:color w:val="000000"/>
          <w:sz w:val="22"/>
        </w:rPr>
        <w:t>1、纸质教材出版要求</w:t>
      </w:r>
    </w:p>
    <w:tbl>
      <w:tblPr>
        <w:tblStyle w:val="8"/>
        <w:tblW w:w="4999" w:type="pct"/>
        <w:tblInd w:w="0" w:type="dxa"/>
        <w:tblLayout w:type="autofit"/>
        <w:tblCellMar>
          <w:top w:w="0" w:type="dxa"/>
          <w:left w:w="108" w:type="dxa"/>
          <w:bottom w:w="0" w:type="dxa"/>
          <w:right w:w="108" w:type="dxa"/>
        </w:tblCellMar>
      </w:tblPr>
      <w:tblGrid>
        <w:gridCol w:w="629"/>
        <w:gridCol w:w="965"/>
        <w:gridCol w:w="1500"/>
        <w:gridCol w:w="5426"/>
      </w:tblGrid>
      <w:tr>
        <w:tblPrEx>
          <w:tblCellMar>
            <w:top w:w="0" w:type="dxa"/>
            <w:left w:w="108" w:type="dxa"/>
            <w:bottom w:w="0" w:type="dxa"/>
            <w:right w:w="108" w:type="dxa"/>
          </w:tblCellMar>
        </w:tblPrEx>
        <w:trPr>
          <w:trHeight w:val="620" w:hRule="atLeast"/>
        </w:trPr>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color w:val="000000"/>
                <w:sz w:val="22"/>
              </w:rPr>
            </w:pPr>
            <w:r>
              <w:rPr>
                <w:rFonts w:hint="eastAsia" w:ascii="宋体" w:hAnsi="宋体" w:cs="宋体"/>
                <w:b/>
                <w:color w:val="000000"/>
                <w:sz w:val="22"/>
              </w:rPr>
              <w:t>纸质教材建设</w:t>
            </w:r>
          </w:p>
        </w:tc>
        <w:tc>
          <w:tcPr>
            <w:tcW w:w="1446"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color w:val="000000"/>
                <w:sz w:val="22"/>
              </w:rPr>
            </w:pPr>
            <w:r>
              <w:rPr>
                <w:rFonts w:hint="eastAsia" w:ascii="宋体" w:hAnsi="宋体" w:cs="宋体"/>
                <w:b/>
                <w:color w:val="000000"/>
                <w:sz w:val="22"/>
              </w:rPr>
              <w:t>行号</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color w:val="000000"/>
                <w:sz w:val="22"/>
              </w:rPr>
            </w:pPr>
            <w:r>
              <w:rPr>
                <w:rFonts w:hint="eastAsia" w:ascii="宋体" w:hAnsi="宋体" w:cs="宋体"/>
                <w:b/>
                <w:color w:val="000000"/>
                <w:sz w:val="22"/>
              </w:rPr>
              <w:t>详细内容</w:t>
            </w:r>
          </w:p>
        </w:tc>
      </w:tr>
      <w:tr>
        <w:tblPrEx>
          <w:tblCellMar>
            <w:top w:w="0" w:type="dxa"/>
            <w:left w:w="108" w:type="dxa"/>
            <w:bottom w:w="0" w:type="dxa"/>
            <w:right w:w="108" w:type="dxa"/>
          </w:tblCellMar>
        </w:tblPrEx>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（一）教材组稿</w:t>
            </w: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rPr>
            </w:pPr>
            <w:r>
              <w:rPr>
                <w:rFonts w:hint="eastAsia" w:ascii="宋体" w:hAnsi="宋体" w:cs="宋体"/>
                <w:color w:val="000000"/>
                <w:sz w:val="22"/>
              </w:rPr>
              <w:t>1．教材初审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rPr>
            </w:pPr>
            <w:r>
              <w:rPr>
                <w:rFonts w:hint="eastAsia" w:ascii="宋体" w:hAnsi="宋体" w:cs="宋体"/>
                <w:color w:val="000000"/>
                <w:sz w:val="22"/>
              </w:rPr>
              <w:t>由出版社对教材稿件进行审核，体现校企融合，提供新技术、新工艺、新流程、新规范、新标准等最新的文件要求，按照文件的要求对教材书稿进行初审。</w:t>
            </w:r>
          </w:p>
        </w:tc>
      </w:tr>
      <w:tr>
        <w:tblPrEx>
          <w:tblCellMar>
            <w:top w:w="0" w:type="dxa"/>
            <w:left w:w="108" w:type="dxa"/>
            <w:bottom w:w="0" w:type="dxa"/>
            <w:right w:w="108" w:type="dxa"/>
          </w:tblCellMar>
        </w:tblPrEx>
        <w:trPr>
          <w:trHeight w:val="72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（二）教材加工审校</w:t>
            </w: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rPr>
            </w:pPr>
            <w:r>
              <w:rPr>
                <w:rFonts w:hint="eastAsia" w:ascii="宋体" w:hAnsi="宋体" w:cs="宋体"/>
                <w:color w:val="000000"/>
                <w:sz w:val="22"/>
              </w:rPr>
              <w:t>1.教材编写培训</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rPr>
            </w:pPr>
            <w:r>
              <w:rPr>
                <w:rFonts w:hint="eastAsia" w:ascii="宋体" w:hAnsi="宋体" w:cs="宋体"/>
                <w:color w:val="000000"/>
                <w:sz w:val="22"/>
              </w:rPr>
              <w:t>责任编辑对项目参建人员进行教材建设整体要求、教材内容及体例要求、教材具体建设流程及平台使用的培训，做好顶层设计。</w:t>
            </w:r>
          </w:p>
        </w:tc>
      </w:tr>
      <w:tr>
        <w:tblPrEx>
          <w:tblCellMar>
            <w:top w:w="0" w:type="dxa"/>
            <w:left w:w="108" w:type="dxa"/>
            <w:bottom w:w="0" w:type="dxa"/>
            <w:right w:w="108" w:type="dxa"/>
          </w:tblCellMar>
        </w:tblPrEx>
        <w:trPr>
          <w:trHeight w:val="1173"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rPr>
            </w:pPr>
            <w:r>
              <w:rPr>
                <w:rFonts w:hint="eastAsia" w:ascii="宋体" w:hAnsi="宋体" w:cs="宋体"/>
                <w:color w:val="000000"/>
                <w:sz w:val="22"/>
              </w:rPr>
              <w:t>2.预审稿件</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rPr>
            </w:pPr>
            <w:r>
              <w:rPr>
                <w:rFonts w:hint="eastAsia" w:ascii="宋体" w:hAnsi="宋体" w:cs="宋体"/>
                <w:color w:val="000000"/>
                <w:sz w:val="22"/>
              </w:rPr>
              <w:t>责任编辑审阅教材目录、样章、资源样例，根据《职业院校教材管理办法》等文件要求，给出整体修改意见，完善教材内容。预审人员应具备相关专业素养，能够确认书稿体例、样章等是否符合相关出版要求。</w:t>
            </w:r>
          </w:p>
        </w:tc>
      </w:tr>
      <w:tr>
        <w:tblPrEx>
          <w:tblCellMar>
            <w:top w:w="0" w:type="dxa"/>
            <w:left w:w="108" w:type="dxa"/>
            <w:bottom w:w="0" w:type="dxa"/>
            <w:right w:w="108" w:type="dxa"/>
          </w:tblCellMar>
        </w:tblPrEx>
        <w:trPr>
          <w:trHeight w:val="952"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3.编辑加工（一审）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一审通常由责任编辑担任，负责审读全书稿件，使稿件的内容更完善、体例更严谨、材料更准确、语言文字更通达、逻辑更严密，消除一般性差错、防止出现原则性错误。在教材及资源的政治性、知识性、文字规范性、体例格式统一性等方面把好关。</w:t>
            </w:r>
          </w:p>
          <w:p>
            <w:pPr>
              <w:adjustRightInd w:val="0"/>
              <w:snapToGrid w:val="0"/>
              <w:spacing w:line="360" w:lineRule="exact"/>
              <w:rPr>
                <w:rFonts w:hint="eastAsia" w:ascii="宋体" w:hAnsi="宋体" w:cs="宋体"/>
                <w:color w:val="000000"/>
                <w:sz w:val="22"/>
                <w:highlight w:val="none"/>
              </w:rPr>
            </w:pPr>
            <w:r>
              <w:rPr>
                <w:rFonts w:hint="eastAsia" w:ascii="宋体" w:hAnsi="宋体" w:cs="宋体"/>
                <w:b/>
                <w:bCs/>
                <w:spacing w:val="-6"/>
                <w:sz w:val="22"/>
                <w:highlight w:val="none"/>
              </w:rPr>
              <w:t>★</w:t>
            </w:r>
            <w:r>
              <w:rPr>
                <w:rFonts w:hint="eastAsia" w:ascii="宋体" w:hAnsi="宋体" w:cs="宋体"/>
                <w:color w:val="000000"/>
                <w:sz w:val="22"/>
                <w:highlight w:val="none"/>
              </w:rPr>
              <w:t>一审人员原则上须具有大学本科以上（含本科）学历，通过出版专业技术人员职业资格考试（中级</w:t>
            </w:r>
            <w:r>
              <w:rPr>
                <w:rFonts w:hint="eastAsia"/>
                <w:highlight w:val="none"/>
                <w:lang w:val="en-US" w:eastAsia="zh-CN"/>
              </w:rPr>
              <w:t>及</w:t>
            </w:r>
            <w:r>
              <w:rPr>
                <w:rFonts w:hint="eastAsia" w:ascii="宋体" w:hAnsi="宋体" w:cs="宋体"/>
                <w:color w:val="000000"/>
                <w:sz w:val="22"/>
                <w:highlight w:val="none"/>
                <w:lang w:val="en-US" w:eastAsia="zh-CN"/>
              </w:rPr>
              <w:t>以上</w:t>
            </w:r>
            <w:r>
              <w:rPr>
                <w:rFonts w:hint="eastAsia" w:ascii="宋体" w:hAnsi="宋体" w:cs="宋体"/>
                <w:color w:val="000000"/>
                <w:sz w:val="22"/>
                <w:highlight w:val="none"/>
              </w:rPr>
              <w:t>）</w:t>
            </w:r>
            <w:r>
              <w:rPr>
                <w:rFonts w:hint="eastAsia" w:ascii="宋体" w:hAnsi="宋体" w:cs="宋体"/>
                <w:b/>
                <w:bCs/>
                <w:color w:val="000000"/>
                <w:sz w:val="22"/>
                <w:highlight w:val="none"/>
                <w:lang w:eastAsia="zh-CN"/>
              </w:rPr>
              <w:t>（</w:t>
            </w:r>
            <w:r>
              <w:rPr>
                <w:rFonts w:hint="eastAsia" w:ascii="宋体" w:hAnsi="宋体" w:cs="宋体"/>
                <w:b/>
                <w:bCs/>
                <w:color w:val="000000"/>
                <w:sz w:val="22"/>
                <w:highlight w:val="none"/>
                <w:lang w:val="en-US" w:eastAsia="zh-CN"/>
              </w:rPr>
              <w:t>提供证明材料加盖投标人公章</w:t>
            </w:r>
            <w:r>
              <w:rPr>
                <w:rFonts w:hint="eastAsia" w:ascii="宋体" w:hAnsi="宋体" w:cs="宋体"/>
                <w:b/>
                <w:bCs/>
                <w:color w:val="000000"/>
                <w:sz w:val="22"/>
                <w:highlight w:val="none"/>
                <w:lang w:eastAsia="zh-CN"/>
              </w:rPr>
              <w:t>）</w:t>
            </w:r>
            <w:r>
              <w:rPr>
                <w:rFonts w:hint="eastAsia" w:ascii="宋体" w:hAnsi="宋体" w:cs="宋体"/>
                <w:color w:val="000000"/>
                <w:sz w:val="22"/>
                <w:highlight w:val="none"/>
              </w:rPr>
              <w:t>。</w:t>
            </w:r>
          </w:p>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中标人应严格执行一审，且一审后需有相关加工报告留存。</w:t>
            </w:r>
          </w:p>
        </w:tc>
      </w:tr>
      <w:tr>
        <w:tblPrEx>
          <w:tblCellMar>
            <w:top w:w="0" w:type="dxa"/>
            <w:left w:w="108" w:type="dxa"/>
            <w:bottom w:w="0" w:type="dxa"/>
            <w:right w:w="108" w:type="dxa"/>
          </w:tblCellMar>
        </w:tblPrEx>
        <w:trPr>
          <w:trHeight w:val="2957"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4.编辑加工（二三审）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二审应根据书稿内容质量、重点难点和一审加工情况，审读100%的正文、全部插图及配套数字资源，对书稿质量及一审报告提出二审意见、解决一审提出的问题。</w:t>
            </w:r>
          </w:p>
          <w:p>
            <w:pPr>
              <w:adjustRightInd w:val="0"/>
              <w:snapToGrid w:val="0"/>
              <w:spacing w:line="360" w:lineRule="exact"/>
              <w:rPr>
                <w:rFonts w:hint="eastAsia" w:ascii="宋体" w:hAnsi="宋体" w:cs="宋体"/>
                <w:color w:val="000000"/>
                <w:sz w:val="22"/>
                <w:highlight w:val="none"/>
              </w:rPr>
            </w:pPr>
            <w:r>
              <w:rPr>
                <w:rFonts w:hint="eastAsia" w:ascii="宋体" w:hAnsi="宋体" w:cs="宋体"/>
                <w:b/>
                <w:bCs/>
                <w:spacing w:val="-6"/>
                <w:sz w:val="22"/>
                <w:highlight w:val="none"/>
              </w:rPr>
              <w:t>★</w:t>
            </w:r>
            <w:r>
              <w:rPr>
                <w:rFonts w:hint="eastAsia" w:ascii="宋体" w:hAnsi="宋体" w:cs="宋体"/>
                <w:color w:val="000000"/>
                <w:sz w:val="22"/>
                <w:highlight w:val="none"/>
              </w:rPr>
              <w:t>二审人员原则上须具有大学本科以上（含本科）学历，具有5年以上（含5年）编辑工作经历，具有副编审以上（含副编审）专业技术职务或拥有被授予的二审权</w:t>
            </w:r>
            <w:r>
              <w:rPr>
                <w:rFonts w:hint="eastAsia" w:ascii="宋体" w:hAnsi="宋体" w:cs="宋体"/>
                <w:b/>
                <w:bCs/>
                <w:color w:val="000000"/>
                <w:sz w:val="22"/>
                <w:highlight w:val="none"/>
                <w:lang w:eastAsia="zh-CN"/>
              </w:rPr>
              <w:t>（</w:t>
            </w:r>
            <w:r>
              <w:rPr>
                <w:rFonts w:hint="eastAsia" w:ascii="宋体" w:hAnsi="宋体" w:cs="宋体"/>
                <w:b/>
                <w:bCs/>
                <w:color w:val="000000"/>
                <w:sz w:val="22"/>
                <w:highlight w:val="none"/>
                <w:lang w:val="en-US" w:eastAsia="zh-CN"/>
              </w:rPr>
              <w:t>提供证明材料加盖投标人公章</w:t>
            </w:r>
            <w:r>
              <w:rPr>
                <w:rFonts w:hint="eastAsia" w:ascii="宋体" w:hAnsi="宋体" w:cs="宋体"/>
                <w:b/>
                <w:bCs/>
                <w:color w:val="000000"/>
                <w:sz w:val="22"/>
                <w:highlight w:val="none"/>
                <w:lang w:eastAsia="zh-CN"/>
              </w:rPr>
              <w:t>）</w:t>
            </w:r>
            <w:r>
              <w:rPr>
                <w:rFonts w:hint="eastAsia" w:ascii="宋体" w:hAnsi="宋体" w:cs="宋体"/>
                <w:color w:val="000000"/>
                <w:sz w:val="22"/>
                <w:highlight w:val="none"/>
              </w:rPr>
              <w:t>。</w:t>
            </w:r>
          </w:p>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三审根据书稿内容质量、重点难点和一、二审加工情况，有针对性地重点审读50%及以上的的正文、插图、配套数字资源。</w:t>
            </w:r>
          </w:p>
          <w:p>
            <w:pPr>
              <w:adjustRightInd w:val="0"/>
              <w:snapToGrid w:val="0"/>
              <w:spacing w:line="360" w:lineRule="exact"/>
              <w:rPr>
                <w:rFonts w:hint="eastAsia" w:ascii="宋体" w:hAnsi="宋体" w:cs="宋体"/>
                <w:color w:val="000000"/>
                <w:sz w:val="22"/>
                <w:highlight w:val="none"/>
              </w:rPr>
            </w:pPr>
            <w:r>
              <w:rPr>
                <w:rFonts w:hint="eastAsia" w:ascii="宋体" w:hAnsi="宋体" w:cs="宋体"/>
                <w:b/>
                <w:bCs/>
                <w:spacing w:val="-6"/>
                <w:sz w:val="22"/>
                <w:highlight w:val="none"/>
              </w:rPr>
              <w:t>★</w:t>
            </w:r>
            <w:r>
              <w:rPr>
                <w:rFonts w:hint="eastAsia" w:ascii="宋体" w:hAnsi="宋体" w:cs="宋体"/>
                <w:color w:val="000000"/>
                <w:sz w:val="22"/>
                <w:highlight w:val="none"/>
              </w:rPr>
              <w:t>三审人员原则上须具有大学本科以上（含本科）学历，具有8年以上（含8年）编辑工作经历，担任过三审工作，具有编审以上专业技术职务或拥有被授予的三审权</w:t>
            </w:r>
            <w:r>
              <w:rPr>
                <w:rFonts w:hint="eastAsia" w:ascii="宋体" w:hAnsi="宋体" w:cs="宋体"/>
                <w:b/>
                <w:bCs/>
                <w:color w:val="000000"/>
                <w:sz w:val="22"/>
                <w:highlight w:val="none"/>
                <w:lang w:eastAsia="zh-CN"/>
              </w:rPr>
              <w:t>（</w:t>
            </w:r>
            <w:r>
              <w:rPr>
                <w:rFonts w:hint="eastAsia" w:ascii="宋体" w:hAnsi="宋体" w:cs="宋体"/>
                <w:b/>
                <w:bCs/>
                <w:color w:val="000000"/>
                <w:sz w:val="22"/>
                <w:highlight w:val="none"/>
                <w:lang w:val="en-US" w:eastAsia="zh-CN"/>
              </w:rPr>
              <w:t>提供证明材料加盖投标人公章</w:t>
            </w:r>
            <w:r>
              <w:rPr>
                <w:rFonts w:hint="eastAsia" w:ascii="宋体" w:hAnsi="宋体" w:cs="宋体"/>
                <w:b/>
                <w:bCs/>
                <w:color w:val="000000"/>
                <w:sz w:val="22"/>
                <w:highlight w:val="none"/>
                <w:lang w:eastAsia="zh-CN"/>
              </w:rPr>
              <w:t>）</w:t>
            </w:r>
            <w:r>
              <w:rPr>
                <w:rFonts w:hint="eastAsia" w:ascii="宋体" w:hAnsi="宋体" w:cs="宋体"/>
                <w:color w:val="000000"/>
                <w:sz w:val="22"/>
                <w:highlight w:val="none"/>
              </w:rPr>
              <w:t>。</w:t>
            </w:r>
          </w:p>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中标人应严格执行二三审，且二三审后需有相关加工报告留存。</w:t>
            </w:r>
          </w:p>
        </w:tc>
      </w:tr>
      <w:tr>
        <w:tblPrEx>
          <w:tblCellMar>
            <w:top w:w="0" w:type="dxa"/>
            <w:left w:w="108" w:type="dxa"/>
            <w:bottom w:w="0" w:type="dxa"/>
            <w:right w:w="108" w:type="dxa"/>
          </w:tblCellMar>
        </w:tblPrEx>
        <w:trPr>
          <w:trHeight w:val="101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5.</w:t>
            </w:r>
            <w:r>
              <w:rPr>
                <w:rFonts w:hint="eastAsia" w:ascii="宋体" w:hAnsi="宋体" w:cs="宋体"/>
                <w:b/>
                <w:bCs/>
                <w:spacing w:val="-6"/>
                <w:sz w:val="22"/>
                <w:highlight w:val="none"/>
              </w:rPr>
              <w:t>★</w:t>
            </w:r>
            <w:r>
              <w:rPr>
                <w:rFonts w:hint="eastAsia" w:ascii="宋体" w:hAnsi="宋体" w:cs="宋体"/>
                <w:color w:val="000000"/>
                <w:sz w:val="22"/>
                <w:highlight w:val="none"/>
              </w:rPr>
              <w:t>校对</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责任校对按国家对图书出版“三审三校”的要求，完成三次校对工作，提升书稿整体质量，再次降低差错率。中标人具备规范的校对流程的专职校对人员，能够完成一校、二校和三校的三校流程。</w:t>
            </w:r>
          </w:p>
        </w:tc>
      </w:tr>
      <w:tr>
        <w:tblPrEx>
          <w:tblCellMar>
            <w:top w:w="0" w:type="dxa"/>
            <w:left w:w="108" w:type="dxa"/>
            <w:bottom w:w="0" w:type="dxa"/>
            <w:right w:w="108" w:type="dxa"/>
          </w:tblCellMar>
        </w:tblPrEx>
        <w:trPr>
          <w:trHeight w:val="83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（三）教材设计排版</w:t>
            </w: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1.正文设计与排版</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版式设计根据书稿内容及责任编辑提出的要求，从版式库中选取或自行设计版式。版式设计要统一、合理、美观、实用。中标人具备规范的排版流程的专职设计排版人员，能够完成各类稿件的排版设计。</w:t>
            </w:r>
          </w:p>
        </w:tc>
      </w:tr>
      <w:tr>
        <w:tblPrEx>
          <w:tblCellMar>
            <w:top w:w="0" w:type="dxa"/>
            <w:left w:w="108" w:type="dxa"/>
            <w:bottom w:w="0" w:type="dxa"/>
            <w:right w:w="108" w:type="dxa"/>
          </w:tblCellMar>
        </w:tblPrEx>
        <w:trPr>
          <w:trHeight w:val="728"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2.绘图</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绘图工作包括审图、插图设计、图稿加工和整理等环节。图片原图通常由教材建设方提供，中标人的责任绘图能够按照编辑要求绘制成内容正确、画面清晰、线型合理、体例统一、缩比适当的制版图。</w:t>
            </w:r>
          </w:p>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（1）中标人具备规范的图片绘制流程的专职绘图人员，能够完成线条图、截屏图等图片的单色、双色、四色处理。</w:t>
            </w:r>
          </w:p>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（2）照片、截屏图上的图注和指示线需在矢量文件中分层加工标注；双色和四色图片上的图注，根据具体情况做叠印处理，加工后的图片影像清晰，色彩层次丰富。</w:t>
            </w:r>
          </w:p>
        </w:tc>
      </w:tr>
      <w:tr>
        <w:tblPrEx>
          <w:tblCellMar>
            <w:top w:w="0" w:type="dxa"/>
            <w:left w:w="108" w:type="dxa"/>
            <w:bottom w:w="0" w:type="dxa"/>
            <w:right w:w="108" w:type="dxa"/>
          </w:tblCellMar>
        </w:tblPrEx>
        <w:trPr>
          <w:trHeight w:val="1298"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3.封面设计</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封面设计应由具有相应专业技术职务的美术编辑担任，在坚持思想性、科学性、艺术性统一的原则下进行封面设计工作，封面图案应无政治、民族、宗教、国际关系、版权等问题，不允许出现知识性、常识性和文字差错。中标人具备规范的封面设计流程的专职美编人员，能够完成各类封面的设计制作。</w:t>
            </w:r>
          </w:p>
        </w:tc>
      </w:tr>
      <w:tr>
        <w:tblPrEx>
          <w:tblCellMar>
            <w:top w:w="0" w:type="dxa"/>
            <w:left w:w="108" w:type="dxa"/>
            <w:bottom w:w="0" w:type="dxa"/>
            <w:right w:w="108" w:type="dxa"/>
          </w:tblCellMar>
        </w:tblPrEx>
        <w:trPr>
          <w:trHeight w:val="426"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r>
              <w:rPr>
                <w:rFonts w:hint="eastAsia" w:ascii="宋体" w:hAnsi="宋体" w:cs="宋体"/>
                <w:color w:val="000000"/>
                <w:sz w:val="22"/>
                <w:highlight w:val="none"/>
              </w:rPr>
              <w:t>（四）教材出版</w:t>
            </w:r>
          </w:p>
        </w:tc>
        <w:tc>
          <w:tcPr>
            <w:tcW w:w="8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u w:val="single"/>
              </w:rPr>
            </w:pPr>
            <w:r>
              <w:rPr>
                <w:rFonts w:hint="eastAsia" w:ascii="宋体" w:hAnsi="宋体" w:cs="宋体"/>
                <w:color w:val="000000"/>
                <w:sz w:val="22"/>
                <w:highlight w:val="none"/>
                <w:u w:val="single"/>
              </w:rPr>
              <w:t>▲申请“国际标准书号（ISBN）”</w:t>
            </w:r>
          </w:p>
        </w:tc>
        <w:tc>
          <w:tcPr>
            <w:tcW w:w="3183"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宋体" w:hAnsi="宋体" w:cs="宋体"/>
                <w:color w:val="000000"/>
                <w:sz w:val="22"/>
                <w:highlight w:val="none"/>
                <w:u w:val="single"/>
              </w:rPr>
            </w:pPr>
            <w:r>
              <w:rPr>
                <w:rFonts w:hint="eastAsia" w:ascii="宋体" w:hAnsi="宋体" w:cs="宋体"/>
                <w:color w:val="000000"/>
                <w:sz w:val="22"/>
                <w:highlight w:val="none"/>
                <w:u w:val="single"/>
              </w:rPr>
              <w:t>中标人同教材建设方签订《图书出版合同》，向主管部门申请“国际标准书号”（申请“国际标准书号”只允许中标人独立完成，不得通过授权或者通过合作伙伴获得）。</w:t>
            </w:r>
          </w:p>
        </w:tc>
      </w:tr>
      <w:tr>
        <w:tblPrEx>
          <w:tblCellMar>
            <w:top w:w="0" w:type="dxa"/>
            <w:left w:w="108" w:type="dxa"/>
            <w:bottom w:w="0" w:type="dxa"/>
            <w:right w:w="108" w:type="dxa"/>
          </w:tblCellMar>
        </w:tblPrEx>
        <w:trPr>
          <w:trHeight w:val="514" w:hRule="atLeast"/>
        </w:trPr>
        <w:tc>
          <w:tcPr>
            <w:tcW w:w="369"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r>
              <w:rPr>
                <w:rFonts w:hint="eastAsia" w:ascii="宋体" w:hAnsi="宋体" w:cs="宋体"/>
                <w:color w:val="000000"/>
                <w:sz w:val="22"/>
                <w:highlight w:val="none"/>
              </w:rPr>
              <w:t>（五）教材宣传推广</w:t>
            </w:r>
          </w:p>
        </w:tc>
        <w:tc>
          <w:tcPr>
            <w:tcW w:w="87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000000"/>
                <w:sz w:val="22"/>
                <w:highlight w:val="none"/>
              </w:rPr>
            </w:pPr>
            <w:r>
              <w:rPr>
                <w:rFonts w:hint="eastAsia" w:ascii="宋体" w:hAnsi="宋体" w:cs="宋体"/>
                <w:color w:val="000000"/>
                <w:sz w:val="22"/>
                <w:highlight w:val="none"/>
              </w:rPr>
              <w:t>1.支持服务</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000000"/>
                <w:sz w:val="22"/>
                <w:highlight w:val="none"/>
              </w:rPr>
            </w:pPr>
            <w:r>
              <w:rPr>
                <w:rFonts w:hint="eastAsia" w:ascii="宋体" w:hAnsi="宋体" w:cs="宋体"/>
                <w:color w:val="000000"/>
                <w:sz w:val="22"/>
                <w:highlight w:val="none"/>
              </w:rPr>
              <w:t>支持创建新形态教材，中标人应具有独立的数字资源平台。</w:t>
            </w:r>
          </w:p>
        </w:tc>
      </w:tr>
      <w:tr>
        <w:tblPrEx>
          <w:tblCellMar>
            <w:top w:w="0" w:type="dxa"/>
            <w:left w:w="108" w:type="dxa"/>
            <w:bottom w:w="0" w:type="dxa"/>
            <w:right w:w="108" w:type="dxa"/>
          </w:tblCellMar>
        </w:tblPrEx>
        <w:trPr>
          <w:trHeight w:val="635"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cs="宋体"/>
                <w:color w:val="000000"/>
                <w:sz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000000"/>
                <w:sz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000000"/>
                <w:sz w:val="22"/>
                <w:highlight w:val="none"/>
              </w:rPr>
            </w:pPr>
            <w:r>
              <w:rPr>
                <w:rFonts w:hint="eastAsia" w:ascii="宋体" w:hAnsi="宋体" w:cs="宋体"/>
                <w:color w:val="000000"/>
                <w:sz w:val="22"/>
                <w:highlight w:val="none"/>
              </w:rPr>
              <w:t>2.宣传推广</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left"/>
              <w:rPr>
                <w:rFonts w:hint="eastAsia" w:ascii="宋体" w:hAnsi="宋体" w:cs="宋体"/>
                <w:color w:val="000000"/>
                <w:sz w:val="22"/>
                <w:highlight w:val="none"/>
              </w:rPr>
            </w:pPr>
            <w:r>
              <w:rPr>
                <w:rFonts w:hint="eastAsia" w:ascii="宋体" w:hAnsi="宋体" w:cs="宋体"/>
                <w:color w:val="000000"/>
                <w:sz w:val="22"/>
                <w:highlight w:val="none"/>
              </w:rPr>
              <w:t>对已出版的教材进行宣传推广，中标人应具有独立的宣传账号、销售渠道。</w:t>
            </w:r>
          </w:p>
        </w:tc>
      </w:tr>
    </w:tbl>
    <w:p>
      <w:pPr>
        <w:numPr>
          <w:ilvl w:val="0"/>
          <w:numId w:val="2"/>
        </w:numPr>
        <w:spacing w:line="360" w:lineRule="exact"/>
        <w:rPr>
          <w:rFonts w:hint="eastAsia" w:ascii="宋体" w:hAnsi="宋体" w:cs="宋体"/>
          <w:b/>
          <w:color w:val="000000"/>
          <w:sz w:val="22"/>
          <w:highlight w:val="none"/>
        </w:rPr>
      </w:pPr>
      <w:r>
        <w:rPr>
          <w:rFonts w:hint="eastAsia" w:ascii="宋体" w:hAnsi="宋体" w:cs="宋体"/>
          <w:b/>
          <w:color w:val="000000"/>
          <w:sz w:val="22"/>
          <w:highlight w:val="none"/>
        </w:rPr>
        <w:t>数字教材出版要求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89"/>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noWrap w:val="0"/>
            <w:vAlign w:val="center"/>
          </w:tcPr>
          <w:p>
            <w:pPr>
              <w:widowControl/>
              <w:spacing w:line="360" w:lineRule="exact"/>
              <w:jc w:val="center"/>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widowControl/>
              <w:spacing w:line="360" w:lineRule="exact"/>
              <w:jc w:val="center"/>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一、数字教材加工审校出版</w:t>
            </w:r>
          </w:p>
        </w:tc>
        <w:tc>
          <w:tcPr>
            <w:tcW w:w="3738" w:type="pct"/>
            <w:noWrap w:val="0"/>
            <w:vAlign w:val="center"/>
          </w:tcPr>
          <w:p>
            <w:pPr>
              <w:widowControl/>
              <w:spacing w:line="360" w:lineRule="exact"/>
              <w:jc w:val="center"/>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22" w:type="pct"/>
            <w:vMerge w:val="restart"/>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（一）数字教材加工审校</w:t>
            </w: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1.预审稿件</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审阅教材目录、样章、资源样例，根据《出版管理条例》，教材建设严格按照教育部《普通高等学校教材管理办法》（教材〔2019〕3号）、中华人民共和国新闻出版总署令(第26号)《图书质量管理规定》、《“十四五”普通高等教育本科国家级规划教材建设实施方案》等文件要求，给出整体修改意见，完善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2.编辑加工（一审）</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由</w:t>
            </w: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具有责任编辑证的专业编辑担任责任编辑通读全稿，负责三审中的第一个审次，使稿件的内容更完善，体例更严谨，材料更准确，文字表述更流畅逻辑更严密，消除一般性差错，防止出现原则性错误。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3.编辑加工（二审）</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由</w:t>
            </w: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具有副高</w:t>
            </w:r>
            <w:r>
              <w:rPr>
                <w:rFonts w:hint="eastAsia" w:ascii="宋体" w:hAnsi="宋体" w:cs="宋体"/>
                <w:color w:val="000000"/>
                <w:kern w:val="0"/>
                <w:sz w:val="22"/>
                <w:highlight w:val="none"/>
                <w:lang w:val="en-US" w:eastAsia="zh-CN"/>
              </w:rPr>
              <w:t>及以上</w:t>
            </w:r>
            <w:r>
              <w:rPr>
                <w:rFonts w:hint="eastAsia" w:ascii="宋体" w:hAnsi="宋体" w:cs="宋体"/>
                <w:color w:val="000000"/>
                <w:kern w:val="0"/>
                <w:sz w:val="22"/>
                <w:highlight w:val="none"/>
              </w:rPr>
              <w:t>职称的专业编辑负责二审，二审应根据书稿内容质量、重点难点和一审加工情况，审读100%的正文和全部插图，对书稿质量及一审报告提出二审意见，作出总体评价，统计、分析书稿及一审工作存在的差错情况，解决一审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4. 编辑加工（三审）</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由</w:t>
            </w: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具有正高职称的专业编辑负责三审，三审根据书稿内容质量、重点难点和一、二审加工情况，有针对性地重点审读20%～100%的正文和50%插图。如果书稿涉及意识形态方面的内容，或属于重大选题备案范围，或一审和二审意见不一致的，三审者应通读全稿。按国家对图书出版“三审三校”的要求，严格执行一审之后的复审与终审，并有相应加工记录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5.数字资源审核</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责任编辑审核全书配套数字资源，对资源内容的政治性、思想性、科学性、适用性以及社会价值和文化学术价值进行审查，对数字资源的内容质量进行把关。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vMerge w:val="restar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6.校对</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责任校对按国家对图书出版“三审三校”的要求，完成三次校对工作，提升书稿整体质量，再次降低差错率。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（1）一校、二校和三校的流程，要求在每个环节都有相应的记录留存。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（2）三审三校之后，成品稿件符合《图书质量管理规定》的有关要求。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2" w:type="pct"/>
            <w:vMerge w:val="restart"/>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（二）数字教材设计排版</w:t>
            </w: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1.正文设计与排版</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版式设计人员根据书稿内容特点、学科属性及责任编辑提出的要求，从版式库中选取或自行设计版式。版式设计要统一、合理、美观、实用。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2.绘图</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绘图工作包括审图、插图设计、图稿加工和整理等环节，可支持单色、双色、彩色图片的绘制。要求责任绘图按国家相关标准绘制成内容正确、画面清晰、线型合理、体例统一、缩比适当的制版图。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3.封面设计</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封面设计应由具有中级及以上专业技术职务的美术编辑担任。责任封面设计根据责任编辑提出的封面设计思路、设计风格、学科属性等要求，在坚持思想性、科学性、艺术性统一的原则下进行封面设计工作；对所选用的样式、色彩、图形、文字及尺寸负责，设计方案最终由责任编辑把关和确认。封面无政治、民族、宗教、国际关系、版权等问题，不出现知识性、常识性和文字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（三）数字教材出版</w:t>
            </w: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2.签订出版合同</w:t>
            </w:r>
          </w:p>
        </w:tc>
        <w:tc>
          <w:tcPr>
            <w:tcW w:w="3738" w:type="pct"/>
            <w:noWrap w:val="0"/>
            <w:vAlign w:val="center"/>
          </w:tcPr>
          <w:p>
            <w:pPr>
              <w:widowControl/>
              <w:spacing w:line="360" w:lineRule="exact"/>
              <w:rPr>
                <w:rFonts w:hint="eastAsia" w:ascii="宋体" w:hAnsi="宋体" w:cs="宋体"/>
                <w:color w:val="000000"/>
                <w:kern w:val="0"/>
                <w:sz w:val="22"/>
                <w:highlight w:val="none"/>
                <w:u w:val="single"/>
              </w:rPr>
            </w:pPr>
            <w:r>
              <w:rPr>
                <w:rFonts w:hint="eastAsia" w:ascii="宋体" w:hAnsi="宋体" w:cs="宋体"/>
                <w:color w:val="000000"/>
                <w:kern w:val="0"/>
                <w:sz w:val="22"/>
                <w:highlight w:val="none"/>
                <w:lang w:eastAsia="zh-CN"/>
              </w:rPr>
              <w:t>投标人</w:t>
            </w:r>
            <w:r>
              <w:rPr>
                <w:rFonts w:hint="eastAsia" w:ascii="宋体" w:hAnsi="宋体" w:cs="宋体"/>
                <w:color w:val="000000"/>
                <w:kern w:val="0"/>
                <w:sz w:val="22"/>
                <w:highlight w:val="none"/>
              </w:rPr>
              <w:t>后续根据教材实际建设情况，同作者签订《数字教材出版合同》，</w:t>
            </w:r>
            <w:r>
              <w:rPr>
                <w:rFonts w:hint="eastAsia" w:ascii="宋体" w:hAnsi="宋体" w:cs="宋体"/>
                <w:color w:val="000000"/>
                <w:sz w:val="22"/>
                <w:highlight w:val="none"/>
                <w:u w:val="single"/>
              </w:rPr>
              <w:t>▲</w:t>
            </w:r>
            <w:r>
              <w:rPr>
                <w:rFonts w:hint="eastAsia" w:ascii="宋体" w:hAnsi="宋体" w:cs="宋体"/>
                <w:color w:val="000000"/>
                <w:kern w:val="0"/>
                <w:sz w:val="22"/>
                <w:highlight w:val="none"/>
                <w:u w:val="single"/>
              </w:rPr>
              <w:t>向国家新闻出版署（原国家新闻出版广电总局）申请电子出版物版号</w:t>
            </w:r>
            <w:r>
              <w:rPr>
                <w:rFonts w:hint="eastAsia" w:ascii="宋体" w:hAnsi="宋体" w:cs="宋体"/>
                <w:color w:val="000000"/>
                <w:kern w:val="0"/>
                <w:sz w:val="22"/>
                <w:highlight w:val="none"/>
                <w:u w:val="single"/>
                <w:lang w:eastAsia="zh-CN"/>
              </w:rPr>
              <w:t>。</w:t>
            </w:r>
            <w:r>
              <w:rPr>
                <w:rFonts w:hint="eastAsia" w:ascii="宋体" w:hAnsi="宋体" w:cs="宋体"/>
                <w:color w:val="000000"/>
                <w:kern w:val="0"/>
                <w:sz w:val="22"/>
                <w:highlight w:val="none"/>
                <w:u w:val="single"/>
              </w:rPr>
              <w:t xml:space="preserve"> </w:t>
            </w:r>
          </w:p>
          <w:p>
            <w:pPr>
              <w:widowControl/>
              <w:spacing w:line="360" w:lineRule="exact"/>
              <w:rPr>
                <w:highlight w:val="none"/>
              </w:rPr>
            </w:pPr>
            <w:r>
              <w:rPr>
                <w:rFonts w:hint="eastAsia" w:ascii="宋体" w:hAnsi="宋体" w:eastAsia="宋体" w:cs="宋体"/>
                <w:color w:val="000000"/>
                <w:kern w:val="0"/>
                <w:sz w:val="22"/>
                <w:highlight w:val="none"/>
              </w:rPr>
              <w:t>《中华人民共和国著作权法》第十八条【职务作品】“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有下列情形之一的职务作品，作者享有署名权，著作权的其他权利由法人或者非法人组织享有，法人或者非法人组织可以给予作者奖励：（一）主要是利用法人或者非法人组织的物质技术条件创作，并由法人或者非法人组织承担责任的工程设计图、产品设计图、地图、示意图、计算机软件等职务作品；（二）报社、期刊社、通讯社、广播电台、电视台的工作人员创作的职务作品；（三）法律、行政法规规定或者合同约定著作权由法人或者非法人组织享有的职务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（四）数字教材内容更新</w:t>
            </w:r>
          </w:p>
        </w:tc>
        <w:tc>
          <w:tcPr>
            <w:tcW w:w="6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出版单位在教材出版后，提供教材内容的更新服务。</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可根据作者的要求，在一定周期内、按一定频次更新数字教材一定范围内的文字、图表和资源等内容，具体周期、频次、更新范围由出版社根据出版相关规范文件要求执行。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widowControl/>
              <w:spacing w:line="360" w:lineRule="exact"/>
              <w:jc w:val="center"/>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二、数字教材平台</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restart"/>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数字教材通过出版社数字教材平台发布、运行、维护、销售，同时做好读者与客户应用服务，具体技术要求包括：</w:t>
            </w:r>
          </w:p>
        </w:tc>
        <w:tc>
          <w:tcPr>
            <w:tcW w:w="638" w:type="pct"/>
            <w:vMerge w:val="restar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1.基础数据管理</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基础数据支持多种用户角色管理，包括作者、读者、教师、学生。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（1）支持按组织管理机构（采购人），并支持采购人所属各类用户的基本信息管理；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highlight w:val="none"/>
              </w:rPr>
            </w:pP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（2）统一管理用户信息，可进行添加、编辑、删除、查询等，支持注册，兑换码充值。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2.资源管理</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集中管理各种形态的数字化资源，包括文本、视频、音频、图形、动画、HTML5资源包等，重点词和脚注独立成库。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（1）视频格式：支持MP4等主流视频格式上传，视频上传后自动转码，无需下载可直接在线播放；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（2）音频格式：支持MP3等主流音频格式上传，音频上传后自动转码，无需下载可直接在线播放；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（3）文档格式：支持Microsoft office等主流办公软件形成格式，上传后自动转码，无需另行安装插件可直接在线阅读；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（4）图片支持jpg、jpeg、png、tif、tiff、bmp、gif等格式；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（5）压缩包支持上传rar、zip等格式；支持HTML网页生成压缩包上传；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（6）支持包括各种文档、音频、视频、动画、图片的在线预览和播放；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（7）支持对资源的文件夹式管理，对资源进行分门别类以便于管理，支持资源的检索。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3.内容编写管理</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（1）主编或作者申请建设图书，通过出版社编辑审核通过后可管理图书，包括图书内容编写、目录编排设计、关键词建设、重点内容标注等，同时搭建图书下的音频、视频、图片、HTML5、习题等教学资源；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（2）支持上传图书相关资源，包括视频、音频、文本、图片等，支持图书相关资源的下载、更新、删除等；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（3）支持直接导入添加pdf文档和PPT文档并实现自带播放器原貌浏览和在线翻页；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（4）支持手写公式录入、latex公式录入、同节latex公式一键转换表达式和逆操作，重点词录入，脚注录入，word导入等功能，满足建设应用需求；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（5）对于同属</w:t>
            </w:r>
            <w:r>
              <w:rPr>
                <w:rFonts w:hint="eastAsia" w:ascii="宋体" w:hAnsi="宋体" w:cs="宋体"/>
                <w:color w:val="000000"/>
                <w:kern w:val="0"/>
                <w:sz w:val="22"/>
                <w:lang w:eastAsia="zh-CN"/>
              </w:rPr>
              <w:t>投标人</w:t>
            </w:r>
            <w:r>
              <w:rPr>
                <w:rFonts w:hint="eastAsia" w:ascii="宋体" w:hAnsi="宋体" w:cs="宋体"/>
                <w:color w:val="000000"/>
                <w:kern w:val="0"/>
                <w:sz w:val="22"/>
              </w:rPr>
              <w:t>教学平台与数字教材平台的作者，支持在数字教材平台，调用其在教学平台自创的数字资源，并引入到数字教材中；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（6）支持按照全书知识框架来绘制多层级结构思维导图，并实现点击跳转至关联正文。思维导图中的锚点可以设定关联到同一节内的不同位置的正文内容；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（7）支持虚拟仿真实验在</w:t>
            </w:r>
            <w:r>
              <w:rPr>
                <w:rFonts w:hint="eastAsia" w:ascii="宋体" w:hAnsi="宋体" w:cs="宋体"/>
                <w:color w:val="000000"/>
                <w:kern w:val="0"/>
                <w:sz w:val="22"/>
                <w:lang w:eastAsia="zh-CN"/>
              </w:rPr>
              <w:t>投标人</w:t>
            </w:r>
            <w:r>
              <w:rPr>
                <w:rFonts w:hint="eastAsia" w:ascii="宋体" w:hAnsi="宋体" w:cs="宋体"/>
                <w:color w:val="000000"/>
                <w:kern w:val="0"/>
                <w:sz w:val="22"/>
              </w:rPr>
              <w:t>服务器本地化运行，并按照数字教材内容需求整体展示或拆分展示；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（8）支持部分程序设计类实验实训教材的编写和在线运行代码及答疑。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4.阅读管理</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（1）图书内容多媒体呈现：支持教师直接打开视频、音频、HTML5等教学资源，满足常态化教学需求；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（2）支持包括支持在线测试，记笔记支持查看答题详情，统计每题的正确率。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5.自测管理</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（1）题目编辑：支持多种方式编辑试卷，即手动在线编辑、手写录入；题目、题干及解析，可插入公式、特殊字符、超链接、图片、视频等，支持公式复制、粘贴；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（2）题型：题目支持不少于12种题型，包括但不限于单选题、多选题、填空题、不定项选择题、判断题、问答题、综合题、选填题、语音题、连线题、完形题、改错题等。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6.网络教学空间</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（1）作者个人空间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①支持作者查看订阅教材情况、个人资源、我的读者（需同教学平台对接）等；支持作者查看所授数字教材下阅读、测验等情况；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②空间统计数据，包括但不限于：支持作者查看排行榜，包括数字教材阅读时长、登录时长等；支持查看统计作者个人所授数字教材下的所有学生数、笔记数、资源学习数、测试数，支持查看个人教学情况。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（2）作者数据空间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支持作者查看每本数字教材的资源建设数据，包括音频数、文档数、图片数、测试数、PPT数等数字教材建设数据。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（3）读者个人空间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①支持读者查看数字教材信息，包括课程导学、授课资料与测试；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②支持读者查看个人学习统计报表，即所学所有数字教材笔记、阅读时长、阅读完成度、测试成绩、笔记数量、统计分等。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restar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7.AI创作</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（1）AI智能封面：通过对封面关键词的描述，自动生成封面文件；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（2）AI智能目录：通过设置目录不同层次的具体数量，配以关键词的描述，自动生成科学、有效的参考目录；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（3）AI智能生图：通过对图片进行类别、特征等描述，生成有效、可参考的4幅图片供选用；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（4）AI智能问答：可以通过对话进行有关知识与技能的问答交互行为；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（5）AI智能审核：基于建设内容，从包括但不限于：易错词检查、不规范名词检查、重点词检查、地名检查、语义重复等维度进行智能审核并进行标记；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（6）AI智能试卷：基于大数据分析、自然语言处理和机器学习等技术，根据教学大纲、课程标准等，自动挑选合适的题目组成试卷；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（7）AI智能总结：利用人工智能技术（如自然语言处理、深度学习等）对数字教材中的大量信息进行自动化提炼、归纳和总结；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（8）AI智能续写：根据给定的文本内容自动生成后续文本；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（9）AI智能润色：能够自动识别并修正文本中的语法错误、优化词汇选择、调整句子结构，并提升整体表达的流畅性和可读性；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widowControl/>
              <w:spacing w:line="360" w:lineRule="exact"/>
              <w:jc w:val="left"/>
              <w:rPr>
                <w:rFonts w:hint="eastAsia" w:ascii="宋体" w:hAnsi="宋体" w:cs="宋体"/>
                <w:color w:val="000000"/>
                <w:kern w:val="0"/>
                <w:sz w:val="22"/>
              </w:rPr>
            </w:pPr>
          </w:p>
        </w:tc>
        <w:tc>
          <w:tcPr>
            <w:tcW w:w="638" w:type="pct"/>
            <w:vMerge w:val="continue"/>
            <w:noWrap w:val="0"/>
            <w:vAlign w:val="center"/>
          </w:tcPr>
          <w:p>
            <w:pPr>
              <w:widowControl/>
              <w:spacing w:line="360" w:lineRule="exact"/>
              <w:jc w:val="left"/>
              <w:rPr>
                <w:rFonts w:hint="eastAsia" w:ascii="宋体" w:hAnsi="宋体" w:cs="宋体"/>
                <w:color w:val="000000"/>
                <w:kern w:val="0"/>
                <w:sz w:val="22"/>
              </w:rPr>
            </w:pP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(10)AI智能查询：选中数字教材中的任意词汇，点击查询可显示其含义。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widowControl/>
              <w:spacing w:line="360" w:lineRule="exact"/>
              <w:jc w:val="center"/>
              <w:rPr>
                <w:rFonts w:hint="eastAsia" w:ascii="宋体" w:hAnsi="宋体" w:cs="宋体"/>
                <w:b/>
                <w:bCs/>
                <w:color w:val="000000"/>
                <w:kern w:val="0"/>
                <w:sz w:val="22"/>
              </w:rPr>
            </w:pPr>
            <w:r>
              <w:rPr>
                <w:rFonts w:hint="eastAsia" w:ascii="宋体" w:hAnsi="宋体" w:cs="宋体"/>
                <w:b/>
                <w:bCs/>
                <w:color w:val="000000"/>
                <w:kern w:val="0"/>
                <w:sz w:val="22"/>
              </w:rPr>
              <w:t>三、数字教材推广与应用</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61" w:type="pct"/>
            <w:gridSpan w:val="2"/>
            <w:noWrap w:val="0"/>
            <w:vAlign w:val="center"/>
          </w:tcPr>
          <w:p>
            <w:pPr>
              <w:widowControl/>
              <w:spacing w:line="360" w:lineRule="exact"/>
              <w:jc w:val="center"/>
              <w:rPr>
                <w:rFonts w:hint="eastAsia" w:ascii="宋体" w:hAnsi="宋体" w:cs="宋体"/>
                <w:color w:val="000000"/>
                <w:kern w:val="0"/>
                <w:sz w:val="22"/>
              </w:rPr>
            </w:pPr>
            <w:r>
              <w:rPr>
                <w:rFonts w:hint="eastAsia" w:ascii="宋体" w:hAnsi="宋体" w:cs="宋体"/>
                <w:color w:val="000000"/>
                <w:kern w:val="0"/>
                <w:sz w:val="22"/>
              </w:rPr>
              <w:t>1</w:t>
            </w:r>
          </w:p>
        </w:tc>
        <w:tc>
          <w:tcPr>
            <w:tcW w:w="3738" w:type="pct"/>
            <w:noWrap w:val="0"/>
            <w:vAlign w:val="center"/>
          </w:tcPr>
          <w:p>
            <w:pPr>
              <w:widowControl/>
              <w:spacing w:line="360" w:lineRule="exact"/>
              <w:rPr>
                <w:rFonts w:hint="eastAsia" w:ascii="宋体" w:hAnsi="宋体" w:cs="宋体"/>
                <w:color w:val="000000"/>
                <w:kern w:val="0"/>
                <w:sz w:val="22"/>
              </w:rPr>
            </w:pPr>
            <w:r>
              <w:rPr>
                <w:rFonts w:hint="eastAsia" w:ascii="宋体" w:hAnsi="宋体" w:cs="宋体"/>
                <w:color w:val="000000"/>
                <w:kern w:val="0"/>
                <w:sz w:val="22"/>
              </w:rPr>
              <w:t>数字教材出版应用平台是数字教材应用的基础。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widowControl/>
              <w:spacing w:line="360" w:lineRule="exact"/>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2</w:t>
            </w:r>
          </w:p>
        </w:tc>
        <w:tc>
          <w:tcPr>
            <w:tcW w:w="3738" w:type="pct"/>
            <w:noWrap w:val="0"/>
            <w:vAlign w:val="center"/>
          </w:tcPr>
          <w:p>
            <w:pPr>
              <w:widowControl/>
              <w:spacing w:line="360" w:lineRule="exact"/>
              <w:rPr>
                <w:rFonts w:hint="eastAsia" w:ascii="宋体" w:hAnsi="宋体" w:cs="宋体"/>
                <w:color w:val="000000"/>
                <w:kern w:val="0"/>
                <w:sz w:val="22"/>
                <w:highlight w:val="none"/>
              </w:rPr>
            </w:pPr>
            <w:r>
              <w:rPr>
                <w:rFonts w:hint="eastAsia" w:ascii="宋体" w:hAnsi="宋体" w:cs="宋体"/>
                <w:color w:val="000000"/>
                <w:kern w:val="0"/>
                <w:sz w:val="22"/>
                <w:highlight w:val="none"/>
              </w:rPr>
              <w:t>宣传推广：对已出版的数字教材进行宣传推广。</w:t>
            </w:r>
          </w:p>
        </w:tc>
      </w:tr>
    </w:tbl>
    <w:p>
      <w:pPr>
        <w:snapToGrid w:val="0"/>
        <w:spacing w:line="360" w:lineRule="exact"/>
        <w:jc w:val="left"/>
        <w:rPr>
          <w:rFonts w:hint="eastAsia" w:ascii="宋体" w:hAnsi="宋体" w:cs="宋体"/>
          <w:b/>
          <w:bCs/>
          <w:spacing w:val="-6"/>
          <w:sz w:val="22"/>
          <w:highlight w:val="none"/>
        </w:rPr>
      </w:pPr>
      <w:r>
        <w:rPr>
          <w:rFonts w:hint="eastAsia" w:ascii="宋体" w:hAnsi="宋体" w:cs="宋体"/>
          <w:b/>
          <w:bCs/>
          <w:spacing w:val="-6"/>
          <w:sz w:val="22"/>
          <w:highlight w:val="none"/>
        </w:rPr>
        <w:t>五、服务要求</w:t>
      </w:r>
    </w:p>
    <w:p>
      <w:pPr>
        <w:widowControl/>
        <w:wordWrap w:val="0"/>
        <w:autoSpaceDE w:val="0"/>
        <w:autoSpaceDN w:val="0"/>
        <w:adjustRightInd w:val="0"/>
        <w:snapToGrid w:val="0"/>
        <w:spacing w:line="400" w:lineRule="exact"/>
        <w:ind w:firstLine="416" w:firstLineChars="200"/>
        <w:rPr>
          <w:rFonts w:hint="eastAsia" w:ascii="宋体" w:hAnsi="宋体" w:cs="宋体"/>
          <w:b w:val="0"/>
          <w:bCs w:val="0"/>
          <w:spacing w:val="-6"/>
          <w:sz w:val="22"/>
          <w:highlight w:val="none"/>
          <w:u w:val="single"/>
        </w:rPr>
      </w:pPr>
      <w:bookmarkStart w:id="3" w:name="OLE_LINK7"/>
      <w:r>
        <w:rPr>
          <w:rFonts w:hint="eastAsia" w:ascii="宋体" w:hAnsi="宋体" w:cs="宋体"/>
          <w:b w:val="0"/>
          <w:bCs w:val="0"/>
          <w:spacing w:val="-6"/>
          <w:sz w:val="22"/>
          <w:highlight w:val="none"/>
          <w:u w:val="single"/>
        </w:rPr>
        <w:t>▲</w:t>
      </w:r>
      <w:r>
        <w:rPr>
          <w:rFonts w:hint="eastAsia" w:ascii="宋体" w:hAnsi="宋体" w:cs="宋体"/>
          <w:b w:val="0"/>
          <w:bCs w:val="0"/>
          <w:sz w:val="22"/>
          <w:highlight w:val="none"/>
          <w:u w:val="single"/>
        </w:rPr>
        <w:t>1.</w:t>
      </w:r>
      <w:bookmarkEnd w:id="3"/>
      <w:r>
        <w:rPr>
          <w:rFonts w:hint="eastAsia" w:ascii="宋体" w:hAnsi="宋体" w:cs="宋体"/>
          <w:b w:val="0"/>
          <w:bCs w:val="0"/>
          <w:spacing w:val="-6"/>
          <w:sz w:val="22"/>
          <w:highlight w:val="none"/>
          <w:u w:val="single"/>
        </w:rPr>
        <w:t>中标人有义务保护教师和学生的个人信息,若教师和学生的个人信息外泄，中标人需承担全部责任，情节严重的采购人有权追究其法律责任。</w:t>
      </w:r>
    </w:p>
    <w:p>
      <w:pPr>
        <w:widowControl/>
        <w:wordWrap w:val="0"/>
        <w:autoSpaceDE w:val="0"/>
        <w:autoSpaceDN w:val="0"/>
        <w:adjustRightInd w:val="0"/>
        <w:snapToGrid w:val="0"/>
        <w:spacing w:line="400" w:lineRule="exact"/>
        <w:ind w:firstLine="416" w:firstLineChars="200"/>
        <w:rPr>
          <w:rFonts w:hint="eastAsia"/>
          <w:b w:val="0"/>
          <w:bCs w:val="0"/>
          <w:highlight w:val="none"/>
          <w:u w:val="single"/>
        </w:rPr>
      </w:pPr>
      <w:r>
        <w:rPr>
          <w:rFonts w:hint="eastAsia" w:ascii="宋体" w:hAnsi="宋体" w:cs="宋体"/>
          <w:b w:val="0"/>
          <w:bCs w:val="0"/>
          <w:spacing w:val="-6"/>
          <w:sz w:val="22"/>
          <w:highlight w:val="none"/>
          <w:u w:val="single"/>
        </w:rPr>
        <w:t>▲2.</w:t>
      </w:r>
      <w:r>
        <w:rPr>
          <w:rFonts w:hint="eastAsia" w:ascii="宋体" w:hAnsi="宋体" w:cs="宋体"/>
          <w:b w:val="0"/>
          <w:bCs w:val="0"/>
          <w:sz w:val="22"/>
          <w:highlight w:val="none"/>
          <w:u w:val="single"/>
        </w:rPr>
        <w:t>采购人享有本项目实施过程中产生的知识成果及知识产权，投标人应保证提供服务过程中不会侵犯采购人及任何第三方的知识成果及知识产权。采购人在平台服务期间产生的资源（包括文档、PPT、题库等，含结构化及非结构化数据），中标人有义务进行独立备份储存，并提供导出存档服务。</w:t>
      </w:r>
    </w:p>
    <w:p>
      <w:pPr>
        <w:snapToGrid w:val="0"/>
        <w:spacing w:line="360" w:lineRule="exact"/>
        <w:jc w:val="left"/>
        <w:rPr>
          <w:rFonts w:hint="eastAsia" w:ascii="宋体" w:hAnsi="宋体" w:cs="宋体"/>
          <w:b/>
          <w:bCs/>
          <w:spacing w:val="-6"/>
          <w:sz w:val="22"/>
          <w:highlight w:val="none"/>
        </w:rPr>
      </w:pPr>
      <w:r>
        <w:rPr>
          <w:rFonts w:hint="eastAsia" w:ascii="宋体" w:hAnsi="宋体" w:cs="宋体"/>
          <w:b/>
          <w:bCs/>
          <w:spacing w:val="-6"/>
          <w:sz w:val="22"/>
          <w:highlight w:val="none"/>
        </w:rPr>
        <w:t>六、其他</w:t>
      </w:r>
    </w:p>
    <w:p>
      <w:pPr>
        <w:snapToGrid w:val="0"/>
        <w:spacing w:line="40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1.除招标文件中所明确的采购需求外，欢迎其他能满足本项目采购需求且所明确采购需求的产品参加投标报价。同时在采购需求偏离表中作出详细对比说明。</w:t>
      </w:r>
    </w:p>
    <w:p>
      <w:pPr>
        <w:snapToGrid w:val="0"/>
        <w:spacing w:line="40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2.带“▲且加下划线”的有关条款为实质性条款，投标人必须做出实质性响应，不允许负偏离（负偏离系指低于采购需求），出现负偏离的将导致投标无效。打★的条款为重要指标，允许负偏离（负偏离系指低于采购需求或未按采购需求提供相应证明材料），可以在技术评分时会重点扣分，具体在评标办法中体现。</w:t>
      </w:r>
    </w:p>
    <w:p>
      <w:pPr>
        <w:snapToGrid w:val="0"/>
        <w:spacing w:line="400" w:lineRule="exact"/>
        <w:ind w:firstLine="418" w:firstLineChars="200"/>
        <w:jc w:val="left"/>
        <w:rPr>
          <w:rFonts w:hint="eastAsia"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400" w:lineRule="exact"/>
        <w:ind w:firstLine="418" w:firstLineChars="200"/>
        <w:jc w:val="left"/>
        <w:outlineLvl w:val="1"/>
        <w:rPr>
          <w:rFonts w:hint="eastAsia" w:ascii="宋体" w:hAnsi="宋体" w:cs="宋体"/>
          <w:b/>
          <w:sz w:val="32"/>
        </w:rPr>
      </w:pPr>
      <w:r>
        <w:rPr>
          <w:rFonts w:hint="eastAsia" w:ascii="宋体" w:hAnsi="宋体" w:cs="宋体"/>
          <w:b/>
          <w:bCs/>
          <w:spacing w:val="-6"/>
          <w:sz w:val="22"/>
        </w:rPr>
        <w:t>4.技术部分中需要提供的证明材料有有效期的必须在有效期内，否则视为未提供。</w:t>
      </w:r>
    </w:p>
    <w:p>
      <w:pPr>
        <w:snapToGrid w:val="0"/>
        <w:spacing w:line="400" w:lineRule="exact"/>
        <w:outlineLvl w:val="1"/>
        <w:rPr>
          <w:rFonts w:hint="eastAsia" w:ascii="宋体" w:hAnsi="宋体" w:cs="宋体"/>
          <w:b/>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8829EF3"/>
    <w:multiLevelType w:val="singleLevel"/>
    <w:tmpl w:val="C8829EF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3F50"/>
    <w:rsid w:val="0CCB00EB"/>
    <w:rsid w:val="11973855"/>
    <w:rsid w:val="1249710A"/>
    <w:rsid w:val="1B4B21EE"/>
    <w:rsid w:val="1F1F3057"/>
    <w:rsid w:val="38D15786"/>
    <w:rsid w:val="3C5F6574"/>
    <w:rsid w:val="3E253E1D"/>
    <w:rsid w:val="41A0269E"/>
    <w:rsid w:val="55447C51"/>
    <w:rsid w:val="6E61619A"/>
    <w:rsid w:val="73D7455A"/>
    <w:rsid w:val="7566608E"/>
    <w:rsid w:val="791901E6"/>
    <w:rsid w:val="7938258C"/>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4">
    <w:name w:val="annotation text"/>
    <w:basedOn w:val="1"/>
    <w:qFormat/>
    <w:uiPriority w:val="0"/>
    <w:pPr>
      <w:jc w:val="left"/>
    </w:pPr>
  </w:style>
  <w:style w:type="paragraph" w:styleId="5">
    <w:name w:val="Block Text"/>
    <w:basedOn w:val="1"/>
    <w:next w:val="1"/>
    <w:qFormat/>
    <w:uiPriority w:val="0"/>
    <w:pPr>
      <w:spacing w:after="120"/>
      <w:ind w:left="1440" w:leftChars="700" w:right="1440" w:rightChars="700"/>
    </w:pPr>
  </w:style>
  <w:style w:type="paragraph" w:styleId="6">
    <w:name w:val="Plain Text"/>
    <w:basedOn w:val="1"/>
    <w:next w:val="7"/>
    <w:qFormat/>
    <w:uiPriority w:val="0"/>
    <w:pPr>
      <w:widowControl/>
      <w:overflowPunct w:val="0"/>
      <w:autoSpaceDE w:val="0"/>
      <w:autoSpaceDN w:val="0"/>
      <w:adjustRightInd w:val="0"/>
      <w:jc w:val="left"/>
      <w:textAlignment w:val="baseline"/>
    </w:pPr>
    <w:rPr>
      <w:rFonts w:ascii="宋体" w:hAnsi="Courier New"/>
      <w:sz w:val="24"/>
    </w:rPr>
  </w:style>
  <w:style w:type="paragraph" w:styleId="7">
    <w:name w:val="toc 2"/>
    <w:basedOn w:val="1"/>
    <w:next w:val="1"/>
    <w:qFormat/>
    <w:uiPriority w:val="39"/>
    <w:pPr>
      <w:tabs>
        <w:tab w:val="right" w:leader="dot" w:pos="8302"/>
      </w:tabs>
      <w:ind w:leftChars="200"/>
    </w:pPr>
    <w:rPr>
      <w:b/>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2">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2025-12-02T07:49:41Z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