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E99AF8">
      <w:pPr>
        <w:keepNext w:val="0"/>
        <w:keepLines w:val="0"/>
        <w:pageBreakBefore w:val="0"/>
        <w:topLinePunct w:val="0"/>
        <w:bidi w:val="0"/>
        <w:snapToGrid w:val="0"/>
        <w:spacing w:line="400" w:lineRule="exact"/>
        <w:ind w:left="0" w:leftChars="0" w:right="0" w:rightChars="0"/>
        <w:jc w:val="center"/>
        <w:outlineLvl w:val="0"/>
        <w:rPr>
          <w:rFonts w:hint="eastAsia" w:ascii="宋体" w:hAnsi="宋体" w:eastAsia="宋体" w:cs="宋体"/>
          <w:b/>
          <w:color w:val="auto"/>
          <w:sz w:val="32"/>
          <w:highlight w:val="none"/>
        </w:rPr>
      </w:pPr>
      <w:r>
        <w:rPr>
          <w:rFonts w:hint="eastAsia" w:ascii="宋体" w:hAnsi="宋体" w:eastAsia="宋体" w:cs="宋体"/>
          <w:b/>
          <w:color w:val="auto"/>
          <w:sz w:val="32"/>
          <w:highlight w:val="none"/>
        </w:rPr>
        <w:t>采购需求</w:t>
      </w:r>
    </w:p>
    <w:p w14:paraId="6C76BA44">
      <w:pPr>
        <w:pStyle w:val="7"/>
        <w:keepNext w:val="0"/>
        <w:keepLines w:val="0"/>
        <w:pageBreakBefore w:val="0"/>
        <w:kinsoku/>
        <w:topLinePunct w:val="0"/>
        <w:bidi w:val="0"/>
        <w:adjustRightInd/>
        <w:snapToGrid w:val="0"/>
        <w:spacing w:line="400" w:lineRule="exact"/>
        <w:ind w:left="0" w:leftChars="0" w:right="0" w:rightChars="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一</w:t>
      </w:r>
      <w:r>
        <w:rPr>
          <w:rFonts w:hint="eastAsia" w:ascii="宋体" w:hAnsi="宋体" w:eastAsia="宋体" w:cs="宋体"/>
          <w:b/>
          <w:bCs/>
          <w:color w:val="auto"/>
          <w:sz w:val="22"/>
          <w:szCs w:val="22"/>
          <w:highlight w:val="none"/>
          <w:lang w:val="en-US" w:eastAsia="zh-CN"/>
        </w:rPr>
        <w:t>.</w:t>
      </w:r>
      <w:r>
        <w:rPr>
          <w:rFonts w:hint="eastAsia" w:ascii="宋体" w:hAnsi="宋体" w:eastAsia="宋体" w:cs="宋体"/>
          <w:b/>
          <w:bCs/>
          <w:color w:val="auto"/>
          <w:sz w:val="22"/>
          <w:szCs w:val="22"/>
          <w:highlight w:val="none"/>
        </w:rPr>
        <w:t>采购内容及数量</w:t>
      </w:r>
    </w:p>
    <w:tbl>
      <w:tblPr>
        <w:tblStyle w:val="8"/>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5"/>
        <w:gridCol w:w="1670"/>
        <w:gridCol w:w="1669"/>
        <w:gridCol w:w="3861"/>
        <w:gridCol w:w="745"/>
      </w:tblGrid>
      <w:tr w14:paraId="66221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2" w:type="pct"/>
            <w:noWrap w:val="0"/>
            <w:vAlign w:val="center"/>
          </w:tcPr>
          <w:p w14:paraId="0F0618A7">
            <w:pPr>
              <w:keepNext w:val="0"/>
              <w:keepLines w:val="0"/>
              <w:pageBreakBefore w:val="0"/>
              <w:tabs>
                <w:tab w:val="left" w:pos="1418"/>
              </w:tabs>
              <w:topLinePunct w:val="0"/>
              <w:bidi w:val="0"/>
              <w:snapToGrid w:val="0"/>
              <w:spacing w:line="400" w:lineRule="exact"/>
              <w:ind w:left="0" w:leftChars="0" w:right="0" w:rightChars="0"/>
              <w:jc w:val="center"/>
              <w:rPr>
                <w:rFonts w:hint="eastAsia" w:ascii="宋体" w:hAnsi="宋体" w:eastAsia="宋体" w:cs="宋体"/>
                <w:color w:val="auto"/>
                <w:spacing w:val="20"/>
                <w:kern w:val="2"/>
                <w:sz w:val="22"/>
                <w:szCs w:val="22"/>
                <w:highlight w:val="none"/>
                <w:lang w:val="en-US" w:eastAsia="zh-CN" w:bidi="ar-SA"/>
              </w:rPr>
            </w:pPr>
            <w:r>
              <w:rPr>
                <w:rFonts w:hint="eastAsia" w:ascii="宋体" w:hAnsi="宋体" w:eastAsia="宋体" w:cs="宋体"/>
                <w:color w:val="auto"/>
                <w:sz w:val="22"/>
                <w:szCs w:val="22"/>
                <w:highlight w:val="none"/>
              </w:rPr>
              <w:t>序号</w:t>
            </w:r>
          </w:p>
        </w:tc>
        <w:tc>
          <w:tcPr>
            <w:tcW w:w="981" w:type="pct"/>
            <w:noWrap w:val="0"/>
            <w:vAlign w:val="center"/>
          </w:tcPr>
          <w:p w14:paraId="567AF907">
            <w:pPr>
              <w:keepNext w:val="0"/>
              <w:keepLines w:val="0"/>
              <w:pageBreakBefore w:val="0"/>
              <w:tabs>
                <w:tab w:val="left" w:pos="1418"/>
              </w:tabs>
              <w:topLinePunct w:val="0"/>
              <w:bidi w:val="0"/>
              <w:snapToGrid w:val="0"/>
              <w:spacing w:line="400" w:lineRule="exact"/>
              <w:ind w:left="0" w:leftChars="0" w:right="0" w:rightChar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服务</w:t>
            </w:r>
            <w:r>
              <w:rPr>
                <w:rFonts w:hint="eastAsia" w:ascii="宋体" w:hAnsi="宋体" w:eastAsia="宋体" w:cs="宋体"/>
                <w:color w:val="auto"/>
                <w:sz w:val="22"/>
                <w:szCs w:val="22"/>
                <w:highlight w:val="none"/>
              </w:rPr>
              <w:t>名称</w:t>
            </w:r>
          </w:p>
        </w:tc>
        <w:tc>
          <w:tcPr>
            <w:tcW w:w="980" w:type="pct"/>
            <w:noWrap w:val="0"/>
            <w:vAlign w:val="center"/>
          </w:tcPr>
          <w:p w14:paraId="50025551">
            <w:pPr>
              <w:keepNext w:val="0"/>
              <w:keepLines w:val="0"/>
              <w:pageBreakBefore w:val="0"/>
              <w:kinsoku/>
              <w:wordWrap/>
              <w:topLinePunct w:val="0"/>
              <w:bidi w:val="0"/>
              <w:adjustRightInd/>
              <w:spacing w:line="360" w:lineRule="exact"/>
              <w:ind w:left="0" w:leftChars="0" w:right="0" w:rightChars="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单价最高限价</w:t>
            </w:r>
          </w:p>
          <w:p w14:paraId="5617A934">
            <w:pPr>
              <w:keepNext w:val="0"/>
              <w:keepLines w:val="0"/>
              <w:pageBreakBefore w:val="0"/>
              <w:kinsoku/>
              <w:wordWrap/>
              <w:topLinePunct w:val="0"/>
              <w:bidi w:val="0"/>
              <w:adjustRightInd/>
              <w:spacing w:line="360" w:lineRule="exact"/>
              <w:ind w:left="0" w:leftChars="0" w:right="0" w:rightChars="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（元/人/年）</w:t>
            </w:r>
          </w:p>
        </w:tc>
        <w:tc>
          <w:tcPr>
            <w:tcW w:w="2268" w:type="pct"/>
            <w:noWrap w:val="0"/>
            <w:vAlign w:val="center"/>
          </w:tcPr>
          <w:p w14:paraId="6D69284C">
            <w:pPr>
              <w:keepNext w:val="0"/>
              <w:keepLines w:val="0"/>
              <w:pageBreakBefore w:val="0"/>
              <w:tabs>
                <w:tab w:val="left" w:pos="1418"/>
              </w:tabs>
              <w:topLinePunct w:val="0"/>
              <w:bidi w:val="0"/>
              <w:snapToGrid w:val="0"/>
              <w:spacing w:line="400" w:lineRule="exact"/>
              <w:ind w:left="0" w:leftChars="0" w:right="0" w:rightChar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数量</w:t>
            </w:r>
          </w:p>
        </w:tc>
        <w:tc>
          <w:tcPr>
            <w:tcW w:w="437" w:type="pct"/>
            <w:noWrap w:val="0"/>
            <w:vAlign w:val="center"/>
          </w:tcPr>
          <w:p w14:paraId="3A2B39A8">
            <w:pPr>
              <w:keepNext w:val="0"/>
              <w:keepLines w:val="0"/>
              <w:pageBreakBefore w:val="0"/>
              <w:tabs>
                <w:tab w:val="left" w:pos="1418"/>
              </w:tabs>
              <w:topLinePunct w:val="0"/>
              <w:bidi w:val="0"/>
              <w:snapToGrid w:val="0"/>
              <w:spacing w:line="400" w:lineRule="exact"/>
              <w:ind w:left="0" w:leftChars="0" w:right="0" w:rightChars="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备注</w:t>
            </w:r>
          </w:p>
        </w:tc>
      </w:tr>
      <w:tr w14:paraId="65A4A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2" w:type="pct"/>
            <w:noWrap w:val="0"/>
            <w:vAlign w:val="center"/>
          </w:tcPr>
          <w:p w14:paraId="008F93D9">
            <w:pPr>
              <w:pStyle w:val="10"/>
              <w:keepNext w:val="0"/>
              <w:keepLines w:val="0"/>
              <w:pageBreakBefore w:val="0"/>
              <w:widowControl w:val="0"/>
              <w:kinsoku/>
              <w:wordWrap/>
              <w:topLinePunct w:val="0"/>
              <w:bidi w:val="0"/>
              <w:adjustRightInd/>
              <w:snapToGrid w:val="0"/>
              <w:spacing w:line="360" w:lineRule="exact"/>
              <w:ind w:left="0" w:leftChars="0" w:right="0" w:rightChars="0" w:firstLine="0" w:firstLineChars="0"/>
              <w:jc w:val="center"/>
              <w:rPr>
                <w:rFonts w:hint="eastAsia" w:ascii="宋体" w:hAnsi="宋体" w:eastAsia="宋体" w:cs="宋体"/>
                <w:b w:val="0"/>
                <w:color w:val="auto"/>
                <w:sz w:val="22"/>
                <w:szCs w:val="22"/>
                <w:highlight w:val="none"/>
                <w:lang w:val="en-US" w:eastAsia="zh-CN"/>
              </w:rPr>
            </w:pPr>
            <w:r>
              <w:rPr>
                <w:rFonts w:hint="eastAsia" w:ascii="宋体" w:hAnsi="宋体" w:eastAsia="宋体" w:cs="宋体"/>
                <w:b w:val="0"/>
                <w:color w:val="auto"/>
                <w:sz w:val="22"/>
                <w:szCs w:val="22"/>
                <w:highlight w:val="none"/>
                <w:lang w:val="en-US" w:eastAsia="zh-CN"/>
              </w:rPr>
              <w:t>1</w:t>
            </w:r>
          </w:p>
        </w:tc>
        <w:tc>
          <w:tcPr>
            <w:tcW w:w="981" w:type="pct"/>
            <w:noWrap w:val="0"/>
            <w:vAlign w:val="center"/>
          </w:tcPr>
          <w:p w14:paraId="574FF316">
            <w:pPr>
              <w:keepNext w:val="0"/>
              <w:keepLines w:val="0"/>
              <w:pageBreakBefore w:val="0"/>
              <w:tabs>
                <w:tab w:val="left" w:pos="1418"/>
              </w:tabs>
              <w:topLinePunct w:val="0"/>
              <w:bidi w:val="0"/>
              <w:snapToGrid w:val="0"/>
              <w:spacing w:line="400" w:lineRule="exact"/>
              <w:ind w:left="0" w:leftChars="0" w:right="0" w:rightChars="0"/>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校（园）方责任</w:t>
            </w:r>
            <w:r>
              <w:rPr>
                <w:rFonts w:hint="eastAsia" w:ascii="宋体" w:hAnsi="宋体" w:eastAsia="宋体" w:cs="宋体"/>
                <w:color w:val="auto"/>
                <w:sz w:val="22"/>
                <w:szCs w:val="22"/>
                <w:highlight w:val="none"/>
                <w:lang w:eastAsia="zh-CN"/>
              </w:rPr>
              <w:t>险</w:t>
            </w:r>
          </w:p>
        </w:tc>
        <w:tc>
          <w:tcPr>
            <w:tcW w:w="980" w:type="pct"/>
            <w:noWrap w:val="0"/>
            <w:vAlign w:val="center"/>
          </w:tcPr>
          <w:p w14:paraId="091C852E">
            <w:pPr>
              <w:keepNext w:val="0"/>
              <w:keepLines w:val="0"/>
              <w:pageBreakBefore w:val="0"/>
              <w:tabs>
                <w:tab w:val="left" w:pos="1418"/>
              </w:tabs>
              <w:topLinePunct w:val="0"/>
              <w:bidi w:val="0"/>
              <w:snapToGrid w:val="0"/>
              <w:spacing w:line="400" w:lineRule="exact"/>
              <w:ind w:left="0" w:leftChars="0" w:right="0" w:rightChars="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7</w:t>
            </w:r>
          </w:p>
        </w:tc>
        <w:tc>
          <w:tcPr>
            <w:tcW w:w="2268" w:type="pct"/>
            <w:noWrap w:val="0"/>
            <w:vAlign w:val="center"/>
          </w:tcPr>
          <w:p w14:paraId="14C1D97A">
            <w:pPr>
              <w:keepNext w:val="0"/>
              <w:keepLines w:val="0"/>
              <w:pageBreakBefore w:val="0"/>
              <w:kinsoku/>
              <w:wordWrap/>
              <w:topLinePunct w:val="0"/>
              <w:bidi w:val="0"/>
              <w:adjustRightInd/>
              <w:spacing w:line="360" w:lineRule="exact"/>
              <w:ind w:left="0" w:leftChars="0" w:right="0" w:rightChars="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全校约12584人（人数为预估人数，实际投保人数以采购人核准投保明细人数为准）</w:t>
            </w:r>
          </w:p>
        </w:tc>
        <w:tc>
          <w:tcPr>
            <w:tcW w:w="437" w:type="pct"/>
            <w:noWrap w:val="0"/>
            <w:vAlign w:val="center"/>
          </w:tcPr>
          <w:p w14:paraId="27F3F02A">
            <w:pPr>
              <w:keepNext w:val="0"/>
              <w:keepLines w:val="0"/>
              <w:pageBreakBefore w:val="0"/>
              <w:kinsoku/>
              <w:wordWrap/>
              <w:topLinePunct w:val="0"/>
              <w:bidi w:val="0"/>
              <w:adjustRightInd/>
              <w:spacing w:line="360" w:lineRule="exact"/>
              <w:ind w:left="0" w:leftChars="0" w:right="0" w:rightChars="0"/>
              <w:jc w:val="left"/>
              <w:rPr>
                <w:rFonts w:hint="eastAsia" w:ascii="宋体" w:hAnsi="宋体" w:eastAsia="宋体" w:cs="宋体"/>
                <w:color w:val="auto"/>
                <w:sz w:val="22"/>
                <w:szCs w:val="22"/>
                <w:highlight w:val="none"/>
                <w:lang w:val="en-US" w:eastAsia="zh-CN"/>
              </w:rPr>
            </w:pPr>
          </w:p>
        </w:tc>
      </w:tr>
      <w:tr w14:paraId="5CFFE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2" w:type="pct"/>
            <w:noWrap w:val="0"/>
            <w:vAlign w:val="center"/>
          </w:tcPr>
          <w:p w14:paraId="1AE2593C">
            <w:pPr>
              <w:pStyle w:val="10"/>
              <w:keepNext w:val="0"/>
              <w:keepLines w:val="0"/>
              <w:pageBreakBefore w:val="0"/>
              <w:widowControl w:val="0"/>
              <w:kinsoku/>
              <w:wordWrap/>
              <w:topLinePunct w:val="0"/>
              <w:bidi w:val="0"/>
              <w:adjustRightInd/>
              <w:snapToGrid w:val="0"/>
              <w:spacing w:line="360" w:lineRule="exact"/>
              <w:ind w:left="0" w:leftChars="0" w:right="0" w:rightChars="0" w:firstLine="0" w:firstLineChars="0"/>
              <w:jc w:val="center"/>
              <w:rPr>
                <w:rFonts w:hint="eastAsia" w:ascii="宋体" w:hAnsi="宋体" w:eastAsia="宋体" w:cs="宋体"/>
                <w:b w:val="0"/>
                <w:color w:val="auto"/>
                <w:sz w:val="22"/>
                <w:szCs w:val="22"/>
                <w:highlight w:val="none"/>
                <w:lang w:val="en-US" w:eastAsia="zh-CN"/>
              </w:rPr>
            </w:pPr>
            <w:r>
              <w:rPr>
                <w:rFonts w:hint="eastAsia" w:ascii="宋体" w:hAnsi="宋体" w:eastAsia="宋体" w:cs="宋体"/>
                <w:b w:val="0"/>
                <w:color w:val="auto"/>
                <w:sz w:val="22"/>
                <w:szCs w:val="22"/>
                <w:highlight w:val="none"/>
                <w:lang w:val="en-US" w:eastAsia="zh-CN"/>
              </w:rPr>
              <w:t>2</w:t>
            </w:r>
          </w:p>
        </w:tc>
        <w:tc>
          <w:tcPr>
            <w:tcW w:w="981" w:type="pct"/>
            <w:noWrap w:val="0"/>
            <w:vAlign w:val="center"/>
          </w:tcPr>
          <w:p w14:paraId="5EAE30EB">
            <w:pPr>
              <w:keepNext w:val="0"/>
              <w:keepLines w:val="0"/>
              <w:pageBreakBefore w:val="0"/>
              <w:tabs>
                <w:tab w:val="left" w:pos="1418"/>
              </w:tabs>
              <w:topLinePunct w:val="0"/>
              <w:bidi w:val="0"/>
              <w:snapToGrid w:val="0"/>
              <w:spacing w:line="400" w:lineRule="exact"/>
              <w:ind w:left="0" w:leftChars="0" w:right="0" w:rightChars="0"/>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非毕业班</w:t>
            </w:r>
            <w:r>
              <w:rPr>
                <w:rFonts w:hint="eastAsia" w:ascii="宋体" w:hAnsi="宋体" w:eastAsia="宋体" w:cs="宋体"/>
                <w:color w:val="auto"/>
                <w:sz w:val="22"/>
                <w:szCs w:val="22"/>
                <w:highlight w:val="none"/>
              </w:rPr>
              <w:t>学生实习责任险</w:t>
            </w:r>
          </w:p>
        </w:tc>
        <w:tc>
          <w:tcPr>
            <w:tcW w:w="980" w:type="pct"/>
            <w:noWrap w:val="0"/>
            <w:vAlign w:val="center"/>
          </w:tcPr>
          <w:p w14:paraId="0522CEE7">
            <w:pPr>
              <w:keepNext w:val="0"/>
              <w:keepLines w:val="0"/>
              <w:pageBreakBefore w:val="0"/>
              <w:tabs>
                <w:tab w:val="left" w:pos="1418"/>
              </w:tabs>
              <w:topLinePunct w:val="0"/>
              <w:bidi w:val="0"/>
              <w:snapToGrid w:val="0"/>
              <w:spacing w:line="400" w:lineRule="exact"/>
              <w:ind w:left="0" w:leftChars="0" w:right="0" w:rightChars="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w:t>
            </w:r>
          </w:p>
        </w:tc>
        <w:tc>
          <w:tcPr>
            <w:tcW w:w="2268" w:type="pct"/>
            <w:noWrap w:val="0"/>
            <w:vAlign w:val="center"/>
          </w:tcPr>
          <w:p w14:paraId="59F2AF41">
            <w:pPr>
              <w:keepNext w:val="0"/>
              <w:keepLines w:val="0"/>
              <w:pageBreakBefore w:val="0"/>
              <w:kinsoku/>
              <w:wordWrap/>
              <w:topLinePunct w:val="0"/>
              <w:bidi w:val="0"/>
              <w:adjustRightInd/>
              <w:spacing w:line="360" w:lineRule="exact"/>
              <w:ind w:left="0" w:leftChars="0" w:right="0" w:rightChars="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非毕业班约7669人（人数为预估人数，实际投保人数以采购人核准投保明细人数为准）</w:t>
            </w:r>
          </w:p>
        </w:tc>
        <w:tc>
          <w:tcPr>
            <w:tcW w:w="437" w:type="pct"/>
            <w:noWrap w:val="0"/>
            <w:vAlign w:val="center"/>
          </w:tcPr>
          <w:p w14:paraId="649ACE4C">
            <w:pPr>
              <w:keepNext w:val="0"/>
              <w:keepLines w:val="0"/>
              <w:pageBreakBefore w:val="0"/>
              <w:kinsoku/>
              <w:wordWrap/>
              <w:topLinePunct w:val="0"/>
              <w:bidi w:val="0"/>
              <w:adjustRightInd/>
              <w:spacing w:line="360" w:lineRule="exact"/>
              <w:ind w:left="0" w:leftChars="0" w:right="0" w:rightChars="0"/>
              <w:jc w:val="left"/>
              <w:rPr>
                <w:rFonts w:hint="eastAsia" w:ascii="宋体" w:hAnsi="宋体" w:eastAsia="宋体" w:cs="宋体"/>
                <w:color w:val="auto"/>
                <w:sz w:val="22"/>
                <w:szCs w:val="22"/>
                <w:highlight w:val="none"/>
                <w:lang w:val="en-US" w:eastAsia="zh-CN"/>
              </w:rPr>
            </w:pPr>
          </w:p>
        </w:tc>
      </w:tr>
      <w:tr w14:paraId="5091E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2" w:type="pct"/>
            <w:noWrap w:val="0"/>
            <w:vAlign w:val="center"/>
          </w:tcPr>
          <w:p w14:paraId="40A42397">
            <w:pPr>
              <w:pStyle w:val="10"/>
              <w:keepNext w:val="0"/>
              <w:keepLines w:val="0"/>
              <w:pageBreakBefore w:val="0"/>
              <w:widowControl w:val="0"/>
              <w:kinsoku/>
              <w:wordWrap/>
              <w:topLinePunct w:val="0"/>
              <w:bidi w:val="0"/>
              <w:adjustRightInd/>
              <w:snapToGrid w:val="0"/>
              <w:spacing w:line="360" w:lineRule="exact"/>
              <w:ind w:left="0" w:leftChars="0" w:right="0" w:rightChars="0" w:firstLine="0" w:firstLineChars="0"/>
              <w:jc w:val="center"/>
              <w:rPr>
                <w:rFonts w:hint="eastAsia" w:ascii="宋体" w:hAnsi="宋体" w:eastAsia="宋体" w:cs="宋体"/>
                <w:b w:val="0"/>
                <w:color w:val="auto"/>
                <w:sz w:val="22"/>
                <w:szCs w:val="22"/>
                <w:highlight w:val="none"/>
                <w:lang w:val="en-US" w:eastAsia="zh-CN"/>
              </w:rPr>
            </w:pPr>
            <w:r>
              <w:rPr>
                <w:rFonts w:hint="eastAsia" w:ascii="宋体" w:hAnsi="宋体" w:eastAsia="宋体" w:cs="宋体"/>
                <w:b w:val="0"/>
                <w:color w:val="auto"/>
                <w:sz w:val="22"/>
                <w:szCs w:val="22"/>
                <w:highlight w:val="none"/>
                <w:lang w:val="en-US" w:eastAsia="zh-CN"/>
              </w:rPr>
              <w:t>3</w:t>
            </w:r>
          </w:p>
        </w:tc>
        <w:tc>
          <w:tcPr>
            <w:tcW w:w="981" w:type="pct"/>
            <w:noWrap w:val="0"/>
            <w:vAlign w:val="center"/>
          </w:tcPr>
          <w:p w14:paraId="211178DE">
            <w:pPr>
              <w:keepNext w:val="0"/>
              <w:keepLines w:val="0"/>
              <w:pageBreakBefore w:val="0"/>
              <w:tabs>
                <w:tab w:val="left" w:pos="1418"/>
              </w:tabs>
              <w:topLinePunct w:val="0"/>
              <w:bidi w:val="0"/>
              <w:snapToGrid w:val="0"/>
              <w:spacing w:line="400" w:lineRule="exact"/>
              <w:ind w:left="0" w:leftChars="0" w:right="0" w:rightChars="0"/>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毕业班</w:t>
            </w:r>
            <w:r>
              <w:rPr>
                <w:rFonts w:hint="eastAsia" w:ascii="宋体" w:hAnsi="宋体" w:eastAsia="宋体" w:cs="宋体"/>
                <w:color w:val="auto"/>
                <w:sz w:val="22"/>
                <w:szCs w:val="22"/>
                <w:highlight w:val="none"/>
              </w:rPr>
              <w:t>学生实习责任险</w:t>
            </w:r>
          </w:p>
        </w:tc>
        <w:tc>
          <w:tcPr>
            <w:tcW w:w="980" w:type="pct"/>
            <w:noWrap w:val="0"/>
            <w:vAlign w:val="center"/>
          </w:tcPr>
          <w:p w14:paraId="524C0DB2">
            <w:pPr>
              <w:keepNext w:val="0"/>
              <w:keepLines w:val="0"/>
              <w:pageBreakBefore w:val="0"/>
              <w:tabs>
                <w:tab w:val="left" w:pos="1418"/>
              </w:tabs>
              <w:topLinePunct w:val="0"/>
              <w:bidi w:val="0"/>
              <w:snapToGrid w:val="0"/>
              <w:spacing w:line="400" w:lineRule="exact"/>
              <w:ind w:left="0" w:leftChars="0" w:right="0" w:right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16</w:t>
            </w:r>
          </w:p>
        </w:tc>
        <w:tc>
          <w:tcPr>
            <w:tcW w:w="2268" w:type="pct"/>
            <w:noWrap w:val="0"/>
            <w:vAlign w:val="center"/>
          </w:tcPr>
          <w:p w14:paraId="7ECD4961">
            <w:pPr>
              <w:keepNext w:val="0"/>
              <w:keepLines w:val="0"/>
              <w:pageBreakBefore w:val="0"/>
              <w:kinsoku/>
              <w:wordWrap/>
              <w:topLinePunct w:val="0"/>
              <w:bidi w:val="0"/>
              <w:adjustRightInd/>
              <w:spacing w:line="360" w:lineRule="exact"/>
              <w:ind w:left="0" w:leftChars="0" w:right="0" w:rightChars="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毕业班约4915人（人数为预估人数，实际投保人数以采购人核准投保明细人数为准）</w:t>
            </w:r>
          </w:p>
        </w:tc>
        <w:tc>
          <w:tcPr>
            <w:tcW w:w="437" w:type="pct"/>
            <w:noWrap w:val="0"/>
            <w:vAlign w:val="center"/>
          </w:tcPr>
          <w:p w14:paraId="737458BC">
            <w:pPr>
              <w:keepNext w:val="0"/>
              <w:keepLines w:val="0"/>
              <w:pageBreakBefore w:val="0"/>
              <w:kinsoku/>
              <w:wordWrap/>
              <w:topLinePunct w:val="0"/>
              <w:bidi w:val="0"/>
              <w:adjustRightInd/>
              <w:spacing w:line="360" w:lineRule="exact"/>
              <w:ind w:left="0" w:leftChars="0" w:right="0" w:rightChars="0"/>
              <w:jc w:val="left"/>
              <w:rPr>
                <w:rFonts w:hint="eastAsia" w:ascii="宋体" w:hAnsi="宋体" w:eastAsia="宋体" w:cs="宋体"/>
                <w:color w:val="auto"/>
                <w:sz w:val="22"/>
                <w:szCs w:val="22"/>
                <w:highlight w:val="none"/>
                <w:lang w:val="en-US" w:eastAsia="zh-CN"/>
              </w:rPr>
            </w:pPr>
          </w:p>
        </w:tc>
      </w:tr>
    </w:tbl>
    <w:p w14:paraId="28EC19BB">
      <w:pPr>
        <w:keepNext w:val="0"/>
        <w:keepLines w:val="0"/>
        <w:pageBreakBefore w:val="0"/>
        <w:numPr>
          <w:ilvl w:val="0"/>
          <w:numId w:val="0"/>
        </w:numPr>
        <w:topLinePunct w:val="0"/>
        <w:bidi w:val="0"/>
        <w:spacing w:line="400" w:lineRule="exact"/>
        <w:ind w:left="0" w:leftChars="0" w:right="0" w:rightChars="0"/>
        <w:rPr>
          <w:rFonts w:hint="eastAsia" w:ascii="宋体" w:hAnsi="宋体" w:eastAsia="宋体" w:cs="宋体"/>
          <w:color w:val="auto"/>
          <w:kern w:val="0"/>
          <w:sz w:val="22"/>
          <w:highlight w:val="none"/>
          <w:lang w:val="zh-CN"/>
        </w:rPr>
      </w:pPr>
      <w:r>
        <w:rPr>
          <w:rFonts w:hint="eastAsia" w:ascii="宋体" w:hAnsi="宋体" w:eastAsia="宋体" w:cs="宋体"/>
          <w:color w:val="auto"/>
          <w:sz w:val="22"/>
          <w:highlight w:val="none"/>
          <w:u w:val="single"/>
        </w:rPr>
        <w:t>▲</w:t>
      </w:r>
      <w:r>
        <w:rPr>
          <w:rFonts w:hint="eastAsia" w:ascii="宋体" w:hAnsi="宋体" w:eastAsia="宋体" w:cs="宋体"/>
          <w:color w:val="auto"/>
          <w:spacing w:val="-6"/>
          <w:sz w:val="22"/>
          <w:highlight w:val="none"/>
          <w:u w:val="single"/>
          <w:lang w:val="en-US" w:eastAsia="zh-CN"/>
        </w:rPr>
        <w:t>报价高于单价最高限价的投标无效</w:t>
      </w:r>
      <w:r>
        <w:rPr>
          <w:rFonts w:hint="eastAsia" w:ascii="宋体" w:hAnsi="宋体" w:eastAsia="宋体" w:cs="宋体"/>
          <w:color w:val="auto"/>
          <w:spacing w:val="-6"/>
          <w:sz w:val="22"/>
          <w:highlight w:val="none"/>
          <w:u w:val="single"/>
        </w:rPr>
        <w:t>。</w:t>
      </w:r>
    </w:p>
    <w:p w14:paraId="40482F18">
      <w:pPr>
        <w:keepNext w:val="0"/>
        <w:keepLines w:val="0"/>
        <w:pageBreakBefore w:val="0"/>
        <w:kinsoku/>
        <w:topLinePunct w:val="0"/>
        <w:bidi w:val="0"/>
        <w:snapToGrid w:val="0"/>
        <w:spacing w:line="400" w:lineRule="exact"/>
        <w:ind w:left="0" w:leftChars="0" w:right="0" w:rightChars="0"/>
        <w:rPr>
          <w:rFonts w:hint="eastAsia" w:ascii="宋体" w:hAnsi="宋体" w:eastAsia="宋体" w:cs="宋体"/>
          <w:b/>
          <w:bCs/>
          <w:color w:val="auto"/>
          <w:spacing w:val="-6"/>
          <w:sz w:val="22"/>
          <w:szCs w:val="22"/>
          <w:highlight w:val="none"/>
        </w:rPr>
      </w:pPr>
      <w:r>
        <w:rPr>
          <w:rFonts w:hint="eastAsia" w:ascii="宋体" w:hAnsi="宋体" w:eastAsia="宋体" w:cs="宋体"/>
          <w:b/>
          <w:bCs/>
          <w:color w:val="auto"/>
          <w:sz w:val="22"/>
          <w:szCs w:val="22"/>
          <w:highlight w:val="none"/>
        </w:rPr>
        <w:t>二</w:t>
      </w:r>
      <w:r>
        <w:rPr>
          <w:rFonts w:hint="eastAsia" w:ascii="宋体" w:hAnsi="宋体" w:eastAsia="宋体" w:cs="宋体"/>
          <w:b/>
          <w:bCs/>
          <w:color w:val="auto"/>
          <w:sz w:val="22"/>
          <w:szCs w:val="22"/>
          <w:highlight w:val="none"/>
          <w:lang w:val="en-US" w:eastAsia="zh-CN"/>
        </w:rPr>
        <w:t>.</w:t>
      </w:r>
      <w:r>
        <w:rPr>
          <w:rFonts w:hint="eastAsia" w:ascii="宋体" w:hAnsi="宋体" w:eastAsia="宋体" w:cs="宋体"/>
          <w:b/>
          <w:bCs/>
          <w:color w:val="auto"/>
          <w:spacing w:val="-6"/>
          <w:sz w:val="22"/>
          <w:szCs w:val="22"/>
          <w:highlight w:val="none"/>
        </w:rPr>
        <w:t>商务要求（技术要求里另有注明的以技术要求为准）</w:t>
      </w:r>
    </w:p>
    <w:tbl>
      <w:tblPr>
        <w:tblStyle w:val="8"/>
        <w:tblW w:w="4992"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390"/>
        <w:gridCol w:w="7118"/>
      </w:tblGrid>
      <w:tr w14:paraId="48DEBB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17" w:type="pct"/>
            <w:tcBorders>
              <w:top w:val="single" w:color="auto" w:sz="4" w:space="0"/>
              <w:left w:val="single" w:color="auto" w:sz="4" w:space="0"/>
              <w:bottom w:val="single" w:color="auto" w:sz="4" w:space="0"/>
              <w:right w:val="single" w:color="auto" w:sz="4" w:space="0"/>
            </w:tcBorders>
            <w:noWrap w:val="0"/>
            <w:vAlign w:val="center"/>
          </w:tcPr>
          <w:p w14:paraId="5801A9D5">
            <w:pPr>
              <w:keepNext w:val="0"/>
              <w:keepLines w:val="0"/>
              <w:pageBreakBefore w:val="0"/>
              <w:kinsoku/>
              <w:topLinePunct w:val="0"/>
              <w:bidi w:val="0"/>
              <w:spacing w:line="400" w:lineRule="exact"/>
              <w:ind w:left="0" w:leftChars="0" w:right="0" w:rightChars="0"/>
              <w:jc w:val="center"/>
              <w:rPr>
                <w:rFonts w:hint="eastAsia" w:ascii="宋体" w:hAnsi="宋体" w:eastAsia="宋体" w:cs="宋体"/>
                <w:b/>
                <w:bCs/>
                <w:color w:val="auto"/>
                <w:sz w:val="22"/>
                <w:szCs w:val="22"/>
                <w:highlight w:val="none"/>
                <w:u w:val="single"/>
              </w:rPr>
            </w:pPr>
            <w:r>
              <w:rPr>
                <w:rFonts w:hint="eastAsia" w:ascii="宋体" w:hAnsi="宋体" w:eastAsia="宋体" w:cs="宋体"/>
                <w:color w:val="auto"/>
                <w:sz w:val="22"/>
                <w:szCs w:val="22"/>
                <w:highlight w:val="none"/>
                <w:u w:val="single"/>
              </w:rPr>
              <w:t>▲</w:t>
            </w:r>
            <w:r>
              <w:rPr>
                <w:rFonts w:hint="eastAsia" w:ascii="宋体" w:hAnsi="宋体" w:eastAsia="宋体" w:cs="宋体"/>
                <w:b/>
                <w:bCs/>
                <w:color w:val="auto"/>
                <w:sz w:val="22"/>
                <w:szCs w:val="22"/>
                <w:highlight w:val="none"/>
                <w:u w:val="single"/>
              </w:rPr>
              <w:t>履约保证金</w:t>
            </w:r>
          </w:p>
        </w:tc>
        <w:tc>
          <w:tcPr>
            <w:tcW w:w="4182" w:type="pct"/>
            <w:tcBorders>
              <w:top w:val="single" w:color="auto" w:sz="4" w:space="0"/>
              <w:left w:val="single" w:color="auto" w:sz="4" w:space="0"/>
              <w:bottom w:val="single" w:color="auto" w:sz="4" w:space="0"/>
              <w:right w:val="single" w:color="auto" w:sz="4" w:space="0"/>
            </w:tcBorders>
            <w:noWrap w:val="0"/>
            <w:vAlign w:val="center"/>
          </w:tcPr>
          <w:p w14:paraId="39ECD140">
            <w:pPr>
              <w:pStyle w:val="6"/>
              <w:keepNext w:val="0"/>
              <w:keepLines w:val="0"/>
              <w:pageBreakBefore w:val="0"/>
              <w:tabs>
                <w:tab w:val="left" w:pos="180"/>
              </w:tabs>
              <w:kinsoku/>
              <w:topLinePunct w:val="0"/>
              <w:bidi w:val="0"/>
              <w:snapToGrid w:val="0"/>
              <w:spacing w:line="400" w:lineRule="exact"/>
              <w:ind w:left="0" w:leftChars="0" w:right="0" w:rightChars="0" w:firstLine="0" w:firstLineChars="0"/>
              <w:rPr>
                <w:rFonts w:hint="eastAsia" w:ascii="宋体" w:hAnsi="宋体" w:eastAsia="宋体" w:cs="宋体"/>
                <w:b/>
                <w:bCs/>
                <w:color w:val="auto"/>
                <w:spacing w:val="-6"/>
                <w:sz w:val="22"/>
                <w:szCs w:val="22"/>
                <w:highlight w:val="none"/>
                <w:u w:val="single"/>
              </w:rPr>
            </w:pPr>
            <w:r>
              <w:rPr>
                <w:rFonts w:hint="eastAsia" w:ascii="宋体" w:hAnsi="宋体" w:eastAsia="宋体" w:cs="宋体"/>
                <w:color w:val="auto"/>
                <w:sz w:val="22"/>
                <w:szCs w:val="22"/>
                <w:highlight w:val="none"/>
                <w:u w:val="single"/>
                <w:lang w:val="en-US" w:eastAsia="zh-CN"/>
              </w:rPr>
              <w:t>合同签订后，</w:t>
            </w:r>
            <w:r>
              <w:rPr>
                <w:rFonts w:hint="eastAsia" w:ascii="宋体" w:hAnsi="宋体" w:eastAsia="宋体" w:cs="宋体"/>
                <w:color w:val="auto"/>
                <w:sz w:val="22"/>
                <w:szCs w:val="22"/>
                <w:highlight w:val="none"/>
                <w:u w:val="single"/>
              </w:rPr>
              <w:t>卖方向买方支付合同价款的5%作为履约保证金（需提供汇款凭证复印件），</w:t>
            </w:r>
            <w:r>
              <w:rPr>
                <w:rFonts w:hint="eastAsia" w:ascii="宋体" w:hAnsi="宋体" w:eastAsia="宋体" w:cs="宋体"/>
                <w:color w:val="auto"/>
                <w:sz w:val="22"/>
                <w:szCs w:val="22"/>
                <w:highlight w:val="none"/>
                <w:u w:val="single"/>
                <w:lang w:val="en-US" w:eastAsia="zh-CN"/>
              </w:rPr>
              <w:t>卖方完成全部服务并通过买方验收，</w:t>
            </w:r>
            <w:r>
              <w:rPr>
                <w:rFonts w:hint="eastAsia" w:ascii="宋体" w:hAnsi="宋体" w:eastAsia="宋体" w:cs="宋体"/>
                <w:color w:val="auto"/>
                <w:sz w:val="22"/>
                <w:szCs w:val="22"/>
                <w:highlight w:val="none"/>
                <w:u w:val="single"/>
              </w:rPr>
              <w:t>买方无息退还履约保证金。</w:t>
            </w:r>
          </w:p>
        </w:tc>
      </w:tr>
      <w:tr w14:paraId="70433E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17" w:type="pct"/>
            <w:tcBorders>
              <w:top w:val="single" w:color="auto" w:sz="4" w:space="0"/>
              <w:left w:val="single" w:color="auto" w:sz="4" w:space="0"/>
              <w:bottom w:val="single" w:color="auto" w:sz="4" w:space="0"/>
              <w:right w:val="single" w:color="auto" w:sz="4" w:space="0"/>
            </w:tcBorders>
            <w:noWrap w:val="0"/>
            <w:vAlign w:val="center"/>
          </w:tcPr>
          <w:p w14:paraId="1DA66640">
            <w:pPr>
              <w:keepNext w:val="0"/>
              <w:keepLines w:val="0"/>
              <w:pageBreakBefore w:val="0"/>
              <w:kinsoku/>
              <w:topLinePunct w:val="0"/>
              <w:bidi w:val="0"/>
              <w:spacing w:line="400" w:lineRule="exact"/>
              <w:ind w:left="0" w:leftChars="0" w:right="0" w:rightChars="0"/>
              <w:jc w:val="center"/>
              <w:rPr>
                <w:rFonts w:hint="eastAsia" w:ascii="宋体" w:hAnsi="宋体" w:eastAsia="宋体" w:cs="宋体"/>
                <w:b/>
                <w:bCs/>
                <w:color w:val="auto"/>
                <w:sz w:val="22"/>
                <w:szCs w:val="22"/>
                <w:highlight w:val="none"/>
                <w:u w:val="single"/>
              </w:rPr>
            </w:pPr>
            <w:r>
              <w:rPr>
                <w:rFonts w:hint="eastAsia" w:ascii="宋体" w:hAnsi="宋体" w:eastAsia="宋体" w:cs="宋体"/>
                <w:color w:val="auto"/>
                <w:sz w:val="22"/>
                <w:szCs w:val="22"/>
                <w:highlight w:val="none"/>
                <w:u w:val="single"/>
              </w:rPr>
              <w:t>▲</w:t>
            </w:r>
            <w:r>
              <w:rPr>
                <w:rFonts w:hint="eastAsia" w:ascii="宋体" w:hAnsi="宋体" w:eastAsia="宋体" w:cs="宋体"/>
                <w:b/>
                <w:bCs/>
                <w:color w:val="auto"/>
                <w:sz w:val="22"/>
                <w:szCs w:val="22"/>
                <w:highlight w:val="none"/>
                <w:u w:val="single"/>
              </w:rPr>
              <w:t>支付方式</w:t>
            </w:r>
          </w:p>
        </w:tc>
        <w:tc>
          <w:tcPr>
            <w:tcW w:w="4182" w:type="pct"/>
            <w:tcBorders>
              <w:top w:val="single" w:color="auto" w:sz="4" w:space="0"/>
              <w:left w:val="single" w:color="auto" w:sz="4" w:space="0"/>
              <w:bottom w:val="single" w:color="auto" w:sz="4" w:space="0"/>
              <w:right w:val="single" w:color="auto" w:sz="4" w:space="0"/>
            </w:tcBorders>
            <w:noWrap w:val="0"/>
            <w:vAlign w:val="center"/>
          </w:tcPr>
          <w:p w14:paraId="1D0C0F1D">
            <w:pPr>
              <w:keepNext w:val="0"/>
              <w:keepLines w:val="0"/>
              <w:pageBreakBefore w:val="0"/>
              <w:kinsoku/>
              <w:topLinePunct w:val="0"/>
              <w:bidi w:val="0"/>
              <w:spacing w:line="400" w:lineRule="exact"/>
              <w:ind w:left="0" w:leftChars="0" w:right="0" w:rightChars="0"/>
              <w:rPr>
                <w:rFonts w:hint="eastAsia" w:ascii="宋体" w:hAnsi="宋体" w:eastAsia="宋体" w:cs="宋体"/>
                <w:color w:val="auto"/>
                <w:sz w:val="22"/>
                <w:szCs w:val="22"/>
                <w:highlight w:val="none"/>
                <w:u w:val="single"/>
              </w:rPr>
            </w:pPr>
            <w:r>
              <w:rPr>
                <w:rFonts w:hint="eastAsia" w:ascii="宋体" w:hAnsi="宋体" w:eastAsia="宋体" w:cs="宋体"/>
                <w:bCs/>
                <w:color w:val="auto"/>
                <w:spacing w:val="-6"/>
                <w:sz w:val="22"/>
                <w:szCs w:val="22"/>
                <w:highlight w:val="none"/>
                <w:u w:val="single"/>
              </w:rPr>
              <w:t>保单生效后</w:t>
            </w:r>
            <w:r>
              <w:rPr>
                <w:rFonts w:hint="eastAsia" w:ascii="宋体" w:hAnsi="宋体" w:eastAsia="宋体" w:cs="宋体"/>
                <w:color w:val="auto"/>
                <w:sz w:val="22"/>
                <w:szCs w:val="22"/>
                <w:highlight w:val="none"/>
                <w:u w:val="single"/>
                <w:lang w:val="en-US" w:eastAsia="zh-CN"/>
              </w:rPr>
              <w:t>一个月内</w:t>
            </w:r>
            <w:r>
              <w:rPr>
                <w:rFonts w:hint="eastAsia" w:ascii="宋体" w:hAnsi="宋体" w:eastAsia="宋体" w:cs="宋体"/>
                <w:bCs/>
                <w:color w:val="auto"/>
                <w:spacing w:val="-6"/>
                <w:sz w:val="22"/>
                <w:szCs w:val="22"/>
                <w:highlight w:val="none"/>
                <w:u w:val="single"/>
              </w:rPr>
              <w:t>，</w:t>
            </w:r>
            <w:r>
              <w:rPr>
                <w:rFonts w:hint="eastAsia" w:ascii="宋体" w:hAnsi="宋体" w:eastAsia="宋体" w:cs="宋体"/>
                <w:color w:val="auto"/>
                <w:sz w:val="22"/>
                <w:szCs w:val="22"/>
                <w:highlight w:val="none"/>
                <w:u w:val="single"/>
                <w:lang w:val="en-US" w:eastAsia="zh-CN"/>
              </w:rPr>
              <w:t>买方收到</w:t>
            </w:r>
            <w:r>
              <w:rPr>
                <w:rFonts w:hint="eastAsia" w:ascii="宋体" w:hAnsi="宋体" w:eastAsia="宋体" w:cs="宋体"/>
                <w:bCs/>
                <w:color w:val="auto"/>
                <w:spacing w:val="-6"/>
                <w:sz w:val="22"/>
                <w:szCs w:val="22"/>
                <w:highlight w:val="none"/>
                <w:u w:val="single"/>
                <w:lang w:val="en-US" w:eastAsia="zh-CN"/>
              </w:rPr>
              <w:t>卖方</w:t>
            </w:r>
            <w:r>
              <w:rPr>
                <w:rFonts w:hint="eastAsia" w:ascii="宋体" w:hAnsi="宋体" w:eastAsia="宋体" w:cs="宋体"/>
                <w:color w:val="auto"/>
                <w:spacing w:val="-6"/>
                <w:sz w:val="22"/>
                <w:highlight w:val="none"/>
                <w:u w:val="single"/>
                <w:lang w:val="en-US" w:eastAsia="zh-CN"/>
              </w:rPr>
              <w:t>开具相应金额的增值税正式发票</w:t>
            </w:r>
            <w:r>
              <w:rPr>
                <w:rFonts w:hint="eastAsia" w:ascii="宋体" w:hAnsi="宋体" w:eastAsia="宋体" w:cs="宋体"/>
                <w:color w:val="auto"/>
                <w:sz w:val="22"/>
                <w:szCs w:val="22"/>
                <w:highlight w:val="none"/>
                <w:u w:val="single"/>
                <w:lang w:val="en-US" w:eastAsia="zh-CN"/>
              </w:rPr>
              <w:t>后7个工作日内通过汇款方式一次性支付。</w:t>
            </w:r>
            <w:r>
              <w:rPr>
                <w:rFonts w:hint="eastAsia" w:ascii="宋体" w:hAnsi="宋体" w:eastAsia="宋体" w:cs="宋体"/>
                <w:bCs/>
                <w:color w:val="auto"/>
                <w:spacing w:val="-6"/>
                <w:sz w:val="22"/>
                <w:szCs w:val="22"/>
                <w:highlight w:val="none"/>
                <w:u w:val="single"/>
                <w:lang w:eastAsia="zh-CN"/>
              </w:rPr>
              <w:t>（</w:t>
            </w:r>
            <w:r>
              <w:rPr>
                <w:rFonts w:hint="eastAsia" w:ascii="宋体" w:hAnsi="宋体" w:eastAsia="宋体" w:cs="宋体"/>
                <w:bCs/>
                <w:color w:val="auto"/>
                <w:spacing w:val="-6"/>
                <w:sz w:val="22"/>
                <w:szCs w:val="22"/>
                <w:highlight w:val="none"/>
                <w:u w:val="single"/>
              </w:rPr>
              <w:t>注：按照实际投保人数计算</w:t>
            </w:r>
            <w:r>
              <w:rPr>
                <w:rFonts w:hint="eastAsia" w:ascii="宋体" w:hAnsi="宋体" w:eastAsia="宋体" w:cs="宋体"/>
                <w:bCs/>
                <w:color w:val="auto"/>
                <w:spacing w:val="-6"/>
                <w:sz w:val="22"/>
                <w:szCs w:val="22"/>
                <w:highlight w:val="none"/>
                <w:u w:val="single"/>
                <w:lang w:eastAsia="zh-CN"/>
              </w:rPr>
              <w:t>）。</w:t>
            </w:r>
          </w:p>
        </w:tc>
      </w:tr>
      <w:tr w14:paraId="32979B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17" w:type="pct"/>
            <w:tcBorders>
              <w:top w:val="single" w:color="auto" w:sz="4" w:space="0"/>
              <w:left w:val="single" w:color="auto" w:sz="4" w:space="0"/>
              <w:bottom w:val="single" w:color="auto" w:sz="4" w:space="0"/>
              <w:right w:val="single" w:color="auto" w:sz="4" w:space="0"/>
            </w:tcBorders>
            <w:noWrap w:val="0"/>
            <w:vAlign w:val="center"/>
          </w:tcPr>
          <w:p w14:paraId="36163574">
            <w:pPr>
              <w:keepNext w:val="0"/>
              <w:keepLines w:val="0"/>
              <w:pageBreakBefore w:val="0"/>
              <w:kinsoku/>
              <w:wordWrap/>
              <w:topLinePunct w:val="0"/>
              <w:bidi w:val="0"/>
              <w:adjustRightInd/>
              <w:spacing w:line="360" w:lineRule="exact"/>
              <w:jc w:val="center"/>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sz w:val="22"/>
                <w:szCs w:val="22"/>
                <w:highlight w:val="none"/>
                <w:lang w:val="en-US" w:eastAsia="zh-CN"/>
              </w:rPr>
              <w:t>服务期</w:t>
            </w:r>
          </w:p>
        </w:tc>
        <w:tc>
          <w:tcPr>
            <w:tcW w:w="4182" w:type="pct"/>
            <w:tcBorders>
              <w:top w:val="single" w:color="auto" w:sz="4" w:space="0"/>
              <w:left w:val="single" w:color="auto" w:sz="4" w:space="0"/>
              <w:bottom w:val="single" w:color="auto" w:sz="4" w:space="0"/>
              <w:right w:val="single" w:color="auto" w:sz="4" w:space="0"/>
            </w:tcBorders>
            <w:noWrap w:val="0"/>
            <w:vAlign w:val="center"/>
          </w:tcPr>
          <w:p w14:paraId="73E93D8C">
            <w:pPr>
              <w:keepNext w:val="0"/>
              <w:keepLines w:val="0"/>
              <w:pageBreakBefore w:val="0"/>
              <w:widowControl w:val="0"/>
              <w:kinsoku/>
              <w:wordWrap/>
              <w:overflowPunct/>
              <w:topLinePunct w:val="0"/>
              <w:autoSpaceDE/>
              <w:autoSpaceDN/>
              <w:bidi w:val="0"/>
              <w:adjustRightInd/>
              <w:spacing w:line="360" w:lineRule="exact"/>
              <w:jc w:val="left"/>
              <w:textAlignment w:val="auto"/>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lang w:val="en-US" w:eastAsia="zh-CN"/>
              </w:rPr>
              <w:t>1年</w:t>
            </w:r>
          </w:p>
        </w:tc>
      </w:tr>
      <w:tr w14:paraId="771C9A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17" w:type="pct"/>
            <w:tcBorders>
              <w:top w:val="single" w:color="auto" w:sz="4" w:space="0"/>
              <w:left w:val="single" w:color="auto" w:sz="4" w:space="0"/>
              <w:bottom w:val="single" w:color="auto" w:sz="4" w:space="0"/>
              <w:right w:val="single" w:color="auto" w:sz="4" w:space="0"/>
            </w:tcBorders>
            <w:noWrap w:val="0"/>
            <w:vAlign w:val="center"/>
          </w:tcPr>
          <w:p w14:paraId="37061FE2">
            <w:pPr>
              <w:keepNext w:val="0"/>
              <w:keepLines w:val="0"/>
              <w:pageBreakBefore w:val="0"/>
              <w:kinsoku/>
              <w:wordWrap/>
              <w:topLinePunct w:val="0"/>
              <w:bidi w:val="0"/>
              <w:adjustRightInd/>
              <w:spacing w:line="360" w:lineRule="exact"/>
              <w:jc w:val="center"/>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sz w:val="22"/>
                <w:szCs w:val="22"/>
                <w:highlight w:val="none"/>
                <w:lang w:eastAsia="zh-CN"/>
              </w:rPr>
              <w:t>服务</w:t>
            </w:r>
            <w:r>
              <w:rPr>
                <w:rFonts w:hint="eastAsia" w:ascii="宋体" w:hAnsi="宋体" w:eastAsia="宋体" w:cs="宋体"/>
                <w:b/>
                <w:bCs/>
                <w:color w:val="auto"/>
                <w:sz w:val="22"/>
                <w:szCs w:val="22"/>
                <w:highlight w:val="none"/>
              </w:rPr>
              <w:t>地点</w:t>
            </w:r>
          </w:p>
        </w:tc>
        <w:tc>
          <w:tcPr>
            <w:tcW w:w="4182" w:type="pct"/>
            <w:tcBorders>
              <w:top w:val="single" w:color="auto" w:sz="4" w:space="0"/>
              <w:left w:val="single" w:color="auto" w:sz="4" w:space="0"/>
              <w:bottom w:val="single" w:color="auto" w:sz="4" w:space="0"/>
              <w:right w:val="single" w:color="auto" w:sz="4" w:space="0"/>
            </w:tcBorders>
            <w:noWrap w:val="0"/>
            <w:vAlign w:val="center"/>
          </w:tcPr>
          <w:p w14:paraId="5F636C4F">
            <w:pPr>
              <w:pStyle w:val="5"/>
              <w:keepNext w:val="0"/>
              <w:keepLines w:val="0"/>
              <w:pageBreakBefore w:val="0"/>
              <w:widowControl w:val="0"/>
              <w:kinsoku/>
              <w:wordWrap/>
              <w:overflowPunct/>
              <w:topLinePunct w:val="0"/>
              <w:autoSpaceDE/>
              <w:autoSpaceDN/>
              <w:bidi w:val="0"/>
              <w:adjustRightInd/>
              <w:spacing w:line="360" w:lineRule="exact"/>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温州职业技术学院指定地点。</w:t>
            </w:r>
          </w:p>
        </w:tc>
      </w:tr>
      <w:tr w14:paraId="2F959F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17" w:type="pct"/>
            <w:tcBorders>
              <w:top w:val="single" w:color="auto" w:sz="4" w:space="0"/>
              <w:left w:val="single" w:color="auto" w:sz="4" w:space="0"/>
              <w:bottom w:val="single" w:color="auto" w:sz="4" w:space="0"/>
              <w:right w:val="single" w:color="auto" w:sz="4" w:space="0"/>
            </w:tcBorders>
            <w:noWrap w:val="0"/>
            <w:vAlign w:val="center"/>
          </w:tcPr>
          <w:p w14:paraId="372E0E79">
            <w:pPr>
              <w:keepNext w:val="0"/>
              <w:keepLines w:val="0"/>
              <w:pageBreakBefore w:val="0"/>
              <w:kinsoku/>
              <w:topLinePunct w:val="0"/>
              <w:bidi w:val="0"/>
              <w:spacing w:line="400" w:lineRule="exact"/>
              <w:ind w:left="0" w:leftChars="0" w:right="0" w:rightChars="0"/>
              <w:jc w:val="center"/>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sz w:val="22"/>
                <w:szCs w:val="22"/>
                <w:highlight w:val="none"/>
              </w:rPr>
              <w:t>验收标准</w:t>
            </w:r>
          </w:p>
        </w:tc>
        <w:tc>
          <w:tcPr>
            <w:tcW w:w="4182" w:type="pct"/>
            <w:tcBorders>
              <w:top w:val="single" w:color="auto" w:sz="4" w:space="0"/>
              <w:left w:val="single" w:color="auto" w:sz="4" w:space="0"/>
              <w:bottom w:val="single" w:color="auto" w:sz="4" w:space="0"/>
              <w:right w:val="single" w:color="auto" w:sz="4" w:space="0"/>
            </w:tcBorders>
            <w:noWrap w:val="0"/>
            <w:vAlign w:val="center"/>
          </w:tcPr>
          <w:p w14:paraId="0181D1B3">
            <w:pPr>
              <w:keepNext w:val="0"/>
              <w:keepLines w:val="0"/>
              <w:pageBreakBefore w:val="0"/>
              <w:kinsoku/>
              <w:topLinePunct w:val="0"/>
              <w:bidi w:val="0"/>
              <w:spacing w:line="400" w:lineRule="exact"/>
              <w:ind w:left="0" w:leftChars="0" w:right="0" w:rightChars="0"/>
              <w:rPr>
                <w:rFonts w:hint="eastAsia" w:ascii="宋体" w:hAnsi="宋体" w:eastAsia="宋体" w:cs="宋体"/>
                <w:color w:val="auto"/>
                <w:spacing w:val="-6"/>
                <w:sz w:val="22"/>
                <w:highlight w:val="none"/>
                <w:u w:val="none"/>
                <w:lang w:val="en-US" w:eastAsia="zh-CN"/>
              </w:rPr>
            </w:pPr>
            <w:r>
              <w:rPr>
                <w:rFonts w:hint="eastAsia" w:ascii="宋体" w:hAnsi="宋体" w:eastAsia="宋体" w:cs="宋体"/>
                <w:color w:val="auto"/>
                <w:spacing w:val="-6"/>
                <w:sz w:val="22"/>
                <w:highlight w:val="none"/>
                <w:u w:val="none"/>
                <w:lang w:val="en-US" w:eastAsia="zh-CN"/>
              </w:rPr>
              <w:t>1.验收标准应符合中国有关的国家、地方、行业的标准。</w:t>
            </w:r>
          </w:p>
          <w:p w14:paraId="7D750795">
            <w:pPr>
              <w:keepNext w:val="0"/>
              <w:keepLines w:val="0"/>
              <w:pageBreakBefore w:val="0"/>
              <w:kinsoku/>
              <w:topLinePunct w:val="0"/>
              <w:bidi w:val="0"/>
              <w:spacing w:line="400" w:lineRule="exact"/>
              <w:ind w:left="0" w:leftChars="0" w:right="0" w:rightChars="0"/>
              <w:rPr>
                <w:rFonts w:hint="eastAsia" w:ascii="宋体" w:hAnsi="宋体" w:eastAsia="宋体" w:cs="宋体"/>
                <w:color w:val="auto"/>
                <w:spacing w:val="-6"/>
                <w:sz w:val="22"/>
                <w:highlight w:val="none"/>
                <w:u w:val="none"/>
                <w:lang w:val="en-US" w:eastAsia="zh-CN"/>
              </w:rPr>
            </w:pPr>
            <w:r>
              <w:rPr>
                <w:rFonts w:hint="eastAsia" w:ascii="宋体" w:hAnsi="宋体" w:eastAsia="宋体" w:cs="宋体"/>
                <w:color w:val="auto"/>
                <w:spacing w:val="-6"/>
                <w:sz w:val="22"/>
                <w:highlight w:val="none"/>
                <w:u w:val="none"/>
                <w:lang w:val="en-US" w:eastAsia="zh-CN"/>
              </w:rPr>
              <w:t>2根据项目特点对服务期内的服务实施情况进行的考核作为验收依据，因中标人原因导致验收未一次性通过，后期验收产生费用需由中标人承担。</w:t>
            </w:r>
          </w:p>
          <w:p w14:paraId="1A770F14">
            <w:pPr>
              <w:keepNext w:val="0"/>
              <w:keepLines w:val="0"/>
              <w:pageBreakBefore w:val="0"/>
              <w:kinsoku/>
              <w:topLinePunct w:val="0"/>
              <w:bidi w:val="0"/>
              <w:spacing w:line="400" w:lineRule="exact"/>
              <w:ind w:left="0" w:leftChars="0" w:right="0" w:rightChars="0"/>
              <w:rPr>
                <w:rFonts w:hint="eastAsia" w:ascii="宋体" w:hAnsi="宋体" w:eastAsia="宋体" w:cs="宋体"/>
                <w:color w:val="auto"/>
                <w:spacing w:val="-6"/>
                <w:sz w:val="22"/>
                <w:highlight w:val="none"/>
                <w:u w:val="none"/>
                <w:lang w:val="en-US" w:eastAsia="zh-CN"/>
              </w:rPr>
            </w:pPr>
            <w:r>
              <w:rPr>
                <w:rFonts w:hint="eastAsia" w:ascii="宋体" w:hAnsi="宋体" w:eastAsia="宋体" w:cs="宋体"/>
                <w:color w:val="auto"/>
                <w:spacing w:val="-6"/>
                <w:sz w:val="22"/>
                <w:highlight w:val="none"/>
                <w:u w:val="none"/>
                <w:lang w:val="en-US" w:eastAsia="zh-CN"/>
              </w:rPr>
              <w:t>3.验收时中标人应在现场，验收完毕后作出验收结果报告。</w:t>
            </w:r>
          </w:p>
          <w:p w14:paraId="41751513">
            <w:pPr>
              <w:keepNext w:val="0"/>
              <w:keepLines w:val="0"/>
              <w:pageBreakBefore w:val="0"/>
              <w:kinsoku/>
              <w:topLinePunct w:val="0"/>
              <w:bidi w:val="0"/>
              <w:spacing w:line="400" w:lineRule="exact"/>
              <w:ind w:left="0" w:leftChars="0" w:right="0" w:rightChars="0"/>
              <w:rPr>
                <w:rFonts w:hint="eastAsia" w:ascii="宋体" w:hAnsi="宋体" w:eastAsia="宋体" w:cs="宋体"/>
                <w:color w:val="auto"/>
                <w:spacing w:val="-6"/>
                <w:sz w:val="22"/>
                <w:highlight w:val="none"/>
                <w:u w:val="none"/>
                <w:lang w:val="en-US" w:eastAsia="zh-CN"/>
              </w:rPr>
            </w:pPr>
            <w:r>
              <w:rPr>
                <w:rFonts w:hint="eastAsia" w:ascii="宋体" w:hAnsi="宋体" w:eastAsia="宋体" w:cs="宋体"/>
                <w:color w:val="auto"/>
                <w:spacing w:val="-6"/>
                <w:sz w:val="22"/>
                <w:highlight w:val="none"/>
                <w:u w:val="none"/>
                <w:lang w:val="en-US" w:eastAsia="zh-CN"/>
              </w:rPr>
              <w:t>4.验收结果符合产品标准和技术规格及合同要求。</w:t>
            </w:r>
          </w:p>
          <w:p w14:paraId="58AF9B20">
            <w:pPr>
              <w:keepNext w:val="0"/>
              <w:keepLines w:val="0"/>
              <w:pageBreakBefore w:val="0"/>
              <w:kinsoku/>
              <w:topLinePunct w:val="0"/>
              <w:bidi w:val="0"/>
              <w:spacing w:line="400" w:lineRule="exact"/>
              <w:ind w:left="0" w:leftChars="0" w:right="0" w:rightChars="0"/>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pacing w:val="-6"/>
                <w:sz w:val="22"/>
                <w:highlight w:val="none"/>
                <w:u w:val="none"/>
                <w:lang w:val="en-US" w:eastAsia="zh-CN"/>
              </w:rPr>
              <w:t>5.以上产生的费用由中标人承担。</w:t>
            </w:r>
          </w:p>
        </w:tc>
      </w:tr>
    </w:tbl>
    <w:p w14:paraId="5FD3D9A8">
      <w:pPr>
        <w:keepNext w:val="0"/>
        <w:keepLines w:val="0"/>
        <w:pageBreakBefore w:val="0"/>
        <w:numPr>
          <w:ilvl w:val="0"/>
          <w:numId w:val="0"/>
        </w:numPr>
        <w:kinsoku/>
        <w:topLinePunct w:val="0"/>
        <w:bidi w:val="0"/>
        <w:snapToGrid w:val="0"/>
        <w:spacing w:line="400" w:lineRule="exact"/>
        <w:ind w:left="0" w:leftChars="0" w:right="0" w:rightChars="0"/>
        <w:jc w:val="left"/>
        <w:rPr>
          <w:rFonts w:hint="eastAsia" w:ascii="宋体" w:hAnsi="宋体" w:eastAsia="宋体" w:cs="宋体"/>
          <w:b/>
          <w:bCs/>
          <w:color w:val="auto"/>
          <w:spacing w:val="-6"/>
          <w:sz w:val="22"/>
          <w:szCs w:val="22"/>
          <w:highlight w:val="none"/>
        </w:rPr>
      </w:pPr>
      <w:r>
        <w:rPr>
          <w:rFonts w:hint="eastAsia" w:ascii="宋体" w:hAnsi="宋体" w:eastAsia="宋体" w:cs="宋体"/>
          <w:b/>
          <w:bCs/>
          <w:color w:val="auto"/>
          <w:spacing w:val="-6"/>
          <w:sz w:val="22"/>
          <w:szCs w:val="22"/>
          <w:highlight w:val="none"/>
          <w:lang w:val="en-US" w:eastAsia="zh-CN"/>
        </w:rPr>
        <w:t>三．</w:t>
      </w:r>
      <w:r>
        <w:rPr>
          <w:rFonts w:hint="eastAsia" w:ascii="宋体" w:hAnsi="宋体" w:eastAsia="宋体" w:cs="宋体"/>
          <w:b/>
          <w:bCs/>
          <w:color w:val="auto"/>
          <w:spacing w:val="-6"/>
          <w:sz w:val="22"/>
          <w:szCs w:val="22"/>
          <w:highlight w:val="none"/>
        </w:rPr>
        <w:t>技术要求</w:t>
      </w:r>
    </w:p>
    <w:p w14:paraId="34AFFA50">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firstLine="440" w:firstLineChars="200"/>
        <w:textAlignment w:val="auto"/>
        <w:outlineLvl w:val="9"/>
        <w:rPr>
          <w:rFonts w:hint="eastAsia" w:ascii="宋体" w:hAnsi="宋体" w:cs="宋体"/>
          <w:b w:val="0"/>
          <w:bCs/>
          <w:color w:val="auto"/>
          <w:sz w:val="22"/>
          <w:szCs w:val="22"/>
          <w:highlight w:val="none"/>
        </w:rPr>
      </w:pPr>
      <w:r>
        <w:rPr>
          <w:rFonts w:hint="eastAsia" w:ascii="宋体" w:hAnsi="宋体" w:cs="宋体"/>
          <w:b w:val="0"/>
          <w:bCs/>
          <w:color w:val="auto"/>
          <w:sz w:val="22"/>
          <w:szCs w:val="22"/>
          <w:highlight w:val="none"/>
        </w:rPr>
        <w:t>1、项目概况</w:t>
      </w:r>
    </w:p>
    <w:p w14:paraId="20B7E927">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cs="宋体"/>
          <w:bCs/>
          <w:color w:val="auto"/>
          <w:sz w:val="22"/>
          <w:szCs w:val="22"/>
          <w:highlight w:val="none"/>
        </w:rPr>
      </w:pPr>
      <w:r>
        <w:rPr>
          <w:rFonts w:hint="eastAsia" w:ascii="宋体" w:hAnsi="宋体" w:cs="宋体"/>
          <w:bCs/>
          <w:color w:val="auto"/>
          <w:sz w:val="22"/>
          <w:szCs w:val="22"/>
          <w:highlight w:val="none"/>
        </w:rPr>
        <w:t>本项目选择1家保险机构服务校（园）方责任保险工作，为温州职业技术学院提供校（园）方责任保险、学生实习责任险等保险承保服务。</w:t>
      </w:r>
    </w:p>
    <w:p w14:paraId="1CA76866">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cs="宋体"/>
          <w:bCs/>
          <w:color w:val="auto"/>
          <w:kern w:val="44"/>
          <w:sz w:val="22"/>
          <w:szCs w:val="22"/>
          <w:highlight w:val="none"/>
        </w:rPr>
      </w:pPr>
      <w:r>
        <w:rPr>
          <w:rFonts w:hint="eastAsia" w:ascii="宋体" w:hAnsi="宋体" w:cs="宋体"/>
          <w:bCs/>
          <w:color w:val="auto"/>
          <w:sz w:val="22"/>
          <w:szCs w:val="22"/>
          <w:highlight w:val="none"/>
        </w:rPr>
        <w:t>2、保险经费</w:t>
      </w:r>
    </w:p>
    <w:p w14:paraId="1209DE7A">
      <w:pPr>
        <w:keepNext w:val="0"/>
        <w:keepLines w:val="0"/>
        <w:pageBreakBefore w:val="0"/>
        <w:widowControl w:val="0"/>
        <w:kinsoku/>
        <w:wordWrap/>
        <w:overflowPunct/>
        <w:topLinePunct w:val="0"/>
        <w:autoSpaceDE/>
        <w:autoSpaceDN/>
        <w:bidi w:val="0"/>
        <w:adjustRightInd/>
        <w:snapToGrid/>
        <w:spacing w:line="360" w:lineRule="exact"/>
        <w:ind w:firstLine="442" w:firstLineChars="200"/>
        <w:textAlignment w:val="auto"/>
        <w:rPr>
          <w:rFonts w:hint="eastAsia" w:ascii="宋体" w:hAnsi="宋体" w:cs="宋体"/>
          <w:b/>
          <w:bCs/>
          <w:color w:val="auto"/>
          <w:sz w:val="22"/>
          <w:szCs w:val="22"/>
          <w:highlight w:val="none"/>
        </w:rPr>
      </w:pPr>
      <w:r>
        <w:rPr>
          <w:rFonts w:hint="eastAsia" w:ascii="宋体" w:hAnsi="宋体" w:cs="宋体"/>
          <w:b/>
          <w:color w:val="auto"/>
          <w:sz w:val="22"/>
          <w:szCs w:val="22"/>
          <w:highlight w:val="none"/>
          <w:u w:val="single"/>
        </w:rPr>
        <w:t>▲</w:t>
      </w:r>
      <w:r>
        <w:rPr>
          <w:rFonts w:hint="eastAsia" w:ascii="宋体" w:hAnsi="宋体" w:cs="宋体"/>
          <w:b/>
          <w:bCs/>
          <w:color w:val="auto"/>
          <w:sz w:val="22"/>
          <w:szCs w:val="22"/>
          <w:highlight w:val="none"/>
          <w:u w:val="single"/>
          <w:lang w:eastAsia="zh-CN"/>
        </w:rPr>
        <w:t>2025-2026学年</w:t>
      </w:r>
      <w:r>
        <w:rPr>
          <w:rFonts w:hint="eastAsia" w:ascii="宋体" w:hAnsi="宋体" w:cs="宋体"/>
          <w:b/>
          <w:bCs/>
          <w:color w:val="auto"/>
          <w:sz w:val="22"/>
          <w:szCs w:val="22"/>
          <w:highlight w:val="none"/>
          <w:u w:val="single"/>
        </w:rPr>
        <w:t>度保险预算经费：校（园）方责任</w:t>
      </w:r>
      <w:r>
        <w:rPr>
          <w:rFonts w:hint="eastAsia" w:ascii="宋体" w:hAnsi="宋体" w:cs="宋体"/>
          <w:b/>
          <w:bCs/>
          <w:color w:val="auto"/>
          <w:sz w:val="22"/>
          <w:szCs w:val="22"/>
          <w:highlight w:val="none"/>
          <w:u w:val="single"/>
          <w:lang w:val="en-US" w:eastAsia="zh-CN"/>
        </w:rPr>
        <w:t>险</w:t>
      </w:r>
      <w:r>
        <w:rPr>
          <w:rFonts w:hint="eastAsia" w:ascii="宋体" w:hAnsi="宋体" w:cs="宋体"/>
          <w:b/>
          <w:bCs/>
          <w:color w:val="auto"/>
          <w:sz w:val="22"/>
          <w:szCs w:val="22"/>
          <w:highlight w:val="none"/>
          <w:u w:val="single"/>
        </w:rPr>
        <w:t>保费</w:t>
      </w:r>
      <w:r>
        <w:rPr>
          <w:rFonts w:hint="eastAsia" w:ascii="宋体" w:hAnsi="宋体" w:cs="宋体"/>
          <w:b/>
          <w:bCs/>
          <w:color w:val="auto"/>
          <w:sz w:val="22"/>
          <w:szCs w:val="22"/>
          <w:highlight w:val="none"/>
          <w:u w:val="single"/>
          <w:lang w:val="en-US" w:eastAsia="zh-CN"/>
        </w:rPr>
        <w:t>7</w:t>
      </w:r>
      <w:r>
        <w:rPr>
          <w:rFonts w:hint="eastAsia" w:ascii="宋体" w:hAnsi="宋体" w:cs="宋体"/>
          <w:b/>
          <w:bCs/>
          <w:color w:val="auto"/>
          <w:sz w:val="22"/>
          <w:szCs w:val="22"/>
          <w:highlight w:val="none"/>
          <w:u w:val="single"/>
        </w:rPr>
        <w:t>元/人/年</w:t>
      </w:r>
      <w:r>
        <w:rPr>
          <w:rFonts w:hint="eastAsia" w:ascii="宋体" w:hAnsi="宋体" w:cs="宋体"/>
          <w:b/>
          <w:bCs/>
          <w:color w:val="auto"/>
          <w:sz w:val="22"/>
          <w:szCs w:val="22"/>
          <w:highlight w:val="none"/>
          <w:u w:val="single"/>
          <w:lang w:eastAsia="zh-CN"/>
        </w:rPr>
        <w:t>、</w:t>
      </w:r>
      <w:r>
        <w:rPr>
          <w:rFonts w:hint="eastAsia" w:ascii="宋体" w:hAnsi="宋体" w:cs="宋体"/>
          <w:b/>
          <w:bCs/>
          <w:color w:val="auto"/>
          <w:sz w:val="22"/>
          <w:szCs w:val="22"/>
          <w:highlight w:val="none"/>
          <w:u w:val="single"/>
          <w:lang w:val="en-US" w:eastAsia="zh-CN"/>
        </w:rPr>
        <w:t>非毕业班</w:t>
      </w:r>
      <w:r>
        <w:rPr>
          <w:rFonts w:hint="eastAsia" w:ascii="宋体" w:hAnsi="宋体" w:cs="宋体"/>
          <w:b/>
          <w:bCs/>
          <w:color w:val="auto"/>
          <w:sz w:val="22"/>
          <w:szCs w:val="22"/>
          <w:highlight w:val="none"/>
          <w:u w:val="single"/>
        </w:rPr>
        <w:t>学生实习责任险保费</w:t>
      </w:r>
      <w:r>
        <w:rPr>
          <w:rFonts w:hint="eastAsia" w:ascii="宋体" w:hAnsi="宋体" w:cs="宋体"/>
          <w:b/>
          <w:bCs/>
          <w:color w:val="auto"/>
          <w:sz w:val="22"/>
          <w:szCs w:val="22"/>
          <w:highlight w:val="none"/>
          <w:u w:val="single"/>
          <w:lang w:val="en-US" w:eastAsia="zh-CN"/>
        </w:rPr>
        <w:t>4</w:t>
      </w:r>
      <w:r>
        <w:rPr>
          <w:rFonts w:hint="eastAsia" w:ascii="宋体" w:hAnsi="宋体" w:cs="宋体"/>
          <w:b/>
          <w:bCs/>
          <w:color w:val="auto"/>
          <w:sz w:val="22"/>
          <w:szCs w:val="22"/>
          <w:highlight w:val="none"/>
          <w:u w:val="single"/>
        </w:rPr>
        <w:t>元</w:t>
      </w:r>
      <w:r>
        <w:rPr>
          <w:rFonts w:hint="eastAsia" w:ascii="宋体" w:hAnsi="宋体" w:cs="宋体"/>
          <w:b/>
          <w:bCs/>
          <w:color w:val="auto"/>
          <w:sz w:val="22"/>
          <w:szCs w:val="22"/>
          <w:highlight w:val="none"/>
          <w:u w:val="single"/>
          <w:lang w:val="en-US" w:eastAsia="zh-CN"/>
        </w:rPr>
        <w:t>/</w:t>
      </w:r>
      <w:r>
        <w:rPr>
          <w:rFonts w:hint="eastAsia" w:ascii="宋体" w:hAnsi="宋体" w:cs="宋体"/>
          <w:b/>
          <w:bCs/>
          <w:color w:val="auto"/>
          <w:sz w:val="22"/>
          <w:szCs w:val="22"/>
          <w:highlight w:val="none"/>
          <w:u w:val="single"/>
        </w:rPr>
        <w:t>人/年</w:t>
      </w:r>
      <w:r>
        <w:rPr>
          <w:rFonts w:hint="eastAsia" w:ascii="宋体" w:hAnsi="宋体" w:cs="宋体"/>
          <w:b/>
          <w:bCs/>
          <w:color w:val="auto"/>
          <w:sz w:val="22"/>
          <w:szCs w:val="22"/>
          <w:highlight w:val="none"/>
          <w:u w:val="single"/>
          <w:lang w:eastAsia="zh-CN"/>
        </w:rPr>
        <w:t>、</w:t>
      </w:r>
      <w:r>
        <w:rPr>
          <w:rFonts w:hint="eastAsia" w:ascii="宋体" w:hAnsi="宋体" w:cs="宋体"/>
          <w:b/>
          <w:bCs/>
          <w:color w:val="auto"/>
          <w:sz w:val="22"/>
          <w:szCs w:val="22"/>
          <w:highlight w:val="none"/>
          <w:u w:val="single"/>
          <w:lang w:val="en-US" w:eastAsia="zh-CN"/>
        </w:rPr>
        <w:t>毕业班</w:t>
      </w:r>
      <w:r>
        <w:rPr>
          <w:rFonts w:hint="eastAsia" w:ascii="宋体" w:hAnsi="宋体" w:cs="宋体"/>
          <w:b/>
          <w:bCs/>
          <w:color w:val="auto"/>
          <w:sz w:val="22"/>
          <w:szCs w:val="22"/>
          <w:highlight w:val="none"/>
          <w:u w:val="single"/>
        </w:rPr>
        <w:t>学生实习责任险</w:t>
      </w:r>
      <w:r>
        <w:rPr>
          <w:rFonts w:hint="eastAsia" w:ascii="宋体" w:hAnsi="宋体" w:cs="宋体"/>
          <w:b/>
          <w:bCs/>
          <w:color w:val="auto"/>
          <w:sz w:val="22"/>
          <w:szCs w:val="22"/>
          <w:highlight w:val="none"/>
          <w:u w:val="single"/>
          <w:lang w:val="en-US" w:eastAsia="zh-CN"/>
        </w:rPr>
        <w:t>保费16</w:t>
      </w:r>
      <w:r>
        <w:rPr>
          <w:rFonts w:hint="eastAsia" w:ascii="宋体" w:hAnsi="宋体" w:cs="宋体"/>
          <w:b/>
          <w:bCs/>
          <w:color w:val="auto"/>
          <w:sz w:val="22"/>
          <w:szCs w:val="22"/>
          <w:highlight w:val="none"/>
          <w:u w:val="single"/>
        </w:rPr>
        <w:t>元/人/年。</w:t>
      </w:r>
    </w:p>
    <w:p w14:paraId="7F921FE0">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3、承保及服务要求</w:t>
      </w:r>
    </w:p>
    <w:p w14:paraId="7E314494">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配合做好温州职业技术学院校（园）方责任保险、学生实习责任险承保工作。（学校分年级统计数字上报，实习生需提供学生花名册，双方可约定以一定方式提交变动或增减被保险人员名单。），保费由采购人直接划转至</w:t>
      </w:r>
      <w:r>
        <w:rPr>
          <w:rFonts w:hint="eastAsia" w:ascii="宋体" w:hAnsi="宋体" w:cs="宋体"/>
          <w:color w:val="auto"/>
          <w:sz w:val="22"/>
          <w:szCs w:val="22"/>
          <w:highlight w:val="none"/>
          <w:lang w:eastAsia="zh-CN"/>
        </w:rPr>
        <w:t>中标人</w:t>
      </w:r>
      <w:r>
        <w:rPr>
          <w:rFonts w:hint="eastAsia" w:ascii="宋体" w:hAnsi="宋体" w:cs="宋体"/>
          <w:color w:val="auto"/>
          <w:sz w:val="22"/>
          <w:szCs w:val="22"/>
          <w:highlight w:val="none"/>
        </w:rPr>
        <w:t>的保费专用账户。</w:t>
      </w:r>
    </w:p>
    <w:p w14:paraId="005840A5">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firstLine="442" w:firstLineChars="200"/>
        <w:textAlignment w:val="auto"/>
        <w:rPr>
          <w:rFonts w:hint="eastAsia" w:ascii="宋体" w:hAnsi="宋体" w:cs="宋体"/>
          <w:color w:val="auto"/>
          <w:sz w:val="22"/>
          <w:szCs w:val="22"/>
          <w:highlight w:val="none"/>
          <w:u w:val="single"/>
        </w:rPr>
      </w:pPr>
      <w:r>
        <w:rPr>
          <w:rFonts w:hint="eastAsia" w:ascii="宋体" w:hAnsi="宋体" w:cs="宋体"/>
          <w:b/>
          <w:color w:val="auto"/>
          <w:sz w:val="22"/>
          <w:szCs w:val="22"/>
          <w:highlight w:val="none"/>
          <w:u w:val="single"/>
        </w:rPr>
        <w:t>▲</w:t>
      </w:r>
      <w:r>
        <w:rPr>
          <w:rFonts w:hint="eastAsia" w:ascii="宋体" w:hAnsi="宋体" w:cs="宋体"/>
          <w:color w:val="auto"/>
          <w:sz w:val="22"/>
          <w:szCs w:val="22"/>
          <w:highlight w:val="none"/>
          <w:u w:val="single"/>
        </w:rPr>
        <w:t>校（园）方责任保险、学生实习责任保险保险方案：</w:t>
      </w:r>
      <w:r>
        <w:rPr>
          <w:rFonts w:hint="eastAsia" w:ascii="宋体" w:hAnsi="宋体" w:cs="宋体"/>
          <w:color w:val="auto"/>
          <w:sz w:val="22"/>
          <w:szCs w:val="22"/>
          <w:highlight w:val="none"/>
          <w:u w:val="single"/>
        </w:rPr>
        <w:br w:type="textWrapping"/>
      </w:r>
      <w:r>
        <w:rPr>
          <w:rFonts w:hint="eastAsia" w:ascii="宋体" w:hAnsi="宋体" w:cs="宋体"/>
          <w:color w:val="auto"/>
          <w:sz w:val="22"/>
          <w:szCs w:val="22"/>
          <w:highlight w:val="none"/>
          <w:u w:val="single"/>
          <w:lang w:val="en-US" w:eastAsia="zh-CN"/>
        </w:rPr>
        <w:t xml:space="preserve">   </w:t>
      </w:r>
      <w:r>
        <w:rPr>
          <w:rFonts w:hint="eastAsia" w:ascii="宋体" w:hAnsi="宋体" w:cs="宋体"/>
          <w:color w:val="auto"/>
          <w:sz w:val="22"/>
          <w:szCs w:val="22"/>
          <w:highlight w:val="none"/>
          <w:u w:val="single"/>
        </w:rPr>
        <w:t>(1)校园方责任险</w:t>
      </w:r>
    </w:p>
    <w:p w14:paraId="18E9C7CD">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lang w:val="en-US" w:eastAsia="zh-CN"/>
        </w:rPr>
        <w:t>1）</w:t>
      </w:r>
      <w:r>
        <w:rPr>
          <w:rFonts w:hint="eastAsia" w:ascii="宋体" w:hAnsi="宋体" w:cs="宋体"/>
          <w:color w:val="auto"/>
          <w:sz w:val="22"/>
          <w:szCs w:val="22"/>
          <w:highlight w:val="none"/>
          <w:u w:val="single"/>
        </w:rPr>
        <w:t>累计责任限额不低于900万，每次事故责任限额不低于540万，每人责任限额不低于63万</w:t>
      </w:r>
    </w:p>
    <w:p w14:paraId="75E4E99F">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lang w:val="en-US" w:eastAsia="zh-CN"/>
        </w:rPr>
        <w:t>2）</w:t>
      </w:r>
      <w:r>
        <w:rPr>
          <w:rFonts w:hint="eastAsia" w:ascii="宋体" w:hAnsi="宋体" w:cs="宋体"/>
          <w:color w:val="auto"/>
          <w:sz w:val="22"/>
          <w:szCs w:val="22"/>
          <w:highlight w:val="none"/>
          <w:u w:val="single"/>
        </w:rPr>
        <w:t>附加无过失责任险(累计责任限额不低于180万，每次事故责任限额不低于90万，每人责任限额不低于9万)</w:t>
      </w:r>
    </w:p>
    <w:p w14:paraId="177730B4">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(2)职业院校学生实习责任险</w:t>
      </w:r>
    </w:p>
    <w:p w14:paraId="3637F230">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lang w:val="en-US" w:eastAsia="zh-CN"/>
        </w:rPr>
        <w:t>1）</w:t>
      </w:r>
      <w:r>
        <w:rPr>
          <w:rFonts w:hint="eastAsia" w:ascii="宋体" w:hAnsi="宋体" w:cs="宋体"/>
          <w:color w:val="auto"/>
          <w:sz w:val="22"/>
          <w:szCs w:val="22"/>
          <w:highlight w:val="none"/>
          <w:u w:val="single"/>
        </w:rPr>
        <w:t>累计责任限额不低于1080万</w:t>
      </w:r>
    </w:p>
    <w:p w14:paraId="6ACEB282">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lang w:val="en-US" w:eastAsia="zh-CN"/>
        </w:rPr>
        <w:t>2）</w:t>
      </w:r>
      <w:r>
        <w:rPr>
          <w:rFonts w:hint="eastAsia" w:ascii="宋体" w:hAnsi="宋体" w:cs="宋体"/>
          <w:color w:val="auto"/>
          <w:sz w:val="22"/>
          <w:szCs w:val="22"/>
          <w:highlight w:val="none"/>
          <w:u w:val="single"/>
        </w:rPr>
        <w:t>每次事故责任限额不低于540万</w:t>
      </w:r>
    </w:p>
    <w:p w14:paraId="67D33163">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lang w:val="en-US" w:eastAsia="zh-CN"/>
        </w:rPr>
        <w:t>3）</w:t>
      </w:r>
      <w:r>
        <w:rPr>
          <w:rFonts w:hint="eastAsia" w:ascii="宋体" w:hAnsi="宋体" w:cs="宋体"/>
          <w:color w:val="auto"/>
          <w:sz w:val="22"/>
          <w:szCs w:val="22"/>
          <w:highlight w:val="none"/>
          <w:u w:val="single"/>
        </w:rPr>
        <w:t>每人责任限额不低于63万</w:t>
      </w:r>
    </w:p>
    <w:p w14:paraId="4E4AB775">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lang w:val="en-US" w:eastAsia="zh-CN"/>
        </w:rPr>
        <w:t>4）</w:t>
      </w:r>
      <w:r>
        <w:rPr>
          <w:rFonts w:hint="eastAsia" w:ascii="宋体" w:hAnsi="宋体" w:cs="宋体"/>
          <w:color w:val="auto"/>
          <w:sz w:val="22"/>
          <w:szCs w:val="22"/>
          <w:highlight w:val="none"/>
          <w:u w:val="single"/>
        </w:rPr>
        <w:t>每人医疗费用责任限额不低于9万</w:t>
      </w:r>
    </w:p>
    <w:p w14:paraId="1BA01622">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lang w:val="en-US" w:eastAsia="zh-CN"/>
        </w:rPr>
        <w:t>5）</w:t>
      </w:r>
      <w:r>
        <w:rPr>
          <w:rFonts w:hint="eastAsia" w:ascii="宋体" w:hAnsi="宋体" w:cs="宋体"/>
          <w:color w:val="auto"/>
          <w:sz w:val="22"/>
          <w:szCs w:val="22"/>
          <w:highlight w:val="none"/>
          <w:u w:val="single"/>
        </w:rPr>
        <w:t>附加学生实习第三者责任保险(责任限额不低于18万)</w:t>
      </w:r>
    </w:p>
    <w:p w14:paraId="771EEE8D">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5、配合做好校园风险管理的宣传、培训、活动等工作，提高师生风险防范能力（制定安全教育活动计划）。</w:t>
      </w:r>
    </w:p>
    <w:p w14:paraId="77CCF392">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6、理赔服务要求</w:t>
      </w:r>
    </w:p>
    <w:p w14:paraId="6116D278">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（1）</w:t>
      </w:r>
      <w:r>
        <w:rPr>
          <w:rFonts w:hint="eastAsia" w:ascii="宋体" w:hAnsi="宋体" w:cs="宋体"/>
          <w:color w:val="auto"/>
          <w:sz w:val="22"/>
          <w:szCs w:val="22"/>
          <w:highlight w:val="none"/>
          <w:lang w:eastAsia="zh-CN"/>
        </w:rPr>
        <w:t>投标人</w:t>
      </w:r>
      <w:r>
        <w:rPr>
          <w:rFonts w:hint="eastAsia" w:ascii="宋体" w:hAnsi="宋体" w:cs="宋体"/>
          <w:color w:val="auto"/>
          <w:sz w:val="22"/>
          <w:szCs w:val="22"/>
          <w:highlight w:val="none"/>
        </w:rPr>
        <w:t>应当成立以负责人为主的校园责任保险理赔服务团队，由有经验的专业理赔人员负责具体的理赔服务工作。理赔人员要保证工作时间内在岗，不能因为主要理赔人员的缺勤而影响到正常的理赔工作。</w:t>
      </w:r>
    </w:p>
    <w:p w14:paraId="463D1C57">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（2）</w:t>
      </w:r>
      <w:r>
        <w:rPr>
          <w:rFonts w:hint="eastAsia" w:ascii="宋体" w:hAnsi="宋体" w:cs="宋体"/>
          <w:color w:val="auto"/>
          <w:sz w:val="22"/>
          <w:szCs w:val="22"/>
          <w:highlight w:val="none"/>
          <w:lang w:eastAsia="zh-CN"/>
        </w:rPr>
        <w:t>投标人</w:t>
      </w:r>
      <w:r>
        <w:rPr>
          <w:rFonts w:hint="eastAsia" w:ascii="宋体" w:hAnsi="宋体" w:cs="宋体"/>
          <w:color w:val="auto"/>
          <w:sz w:val="22"/>
          <w:szCs w:val="22"/>
          <w:highlight w:val="none"/>
        </w:rPr>
        <w:t>应当设立专门的服务热线电话，负责受理校园责任保险的事故报案、咨询、疑难问题解答和投诉处理。对于事故报案和客户投诉，投标人应当在1个工作日内向教育风险管理顾问就重要事项作出明确答复。</w:t>
      </w:r>
    </w:p>
    <w:p w14:paraId="5FBEEC66">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（3）对收到的索赔材料进行审核，并在2个工作日内向被保险人反馈是否立案。需要补充提供证明材料的应当在反馈立案的同时一次性提出。对决定拒赔或者不予立案的，出具正式的书面意见。</w:t>
      </w:r>
    </w:p>
    <w:p w14:paraId="2D271FFA">
      <w:pPr>
        <w:keepNext w:val="0"/>
        <w:keepLines w:val="0"/>
        <w:pageBreakBefore w:val="0"/>
        <w:widowControl w:val="0"/>
        <w:kinsoku/>
        <w:wordWrap/>
        <w:overflowPunct/>
        <w:topLinePunct w:val="0"/>
        <w:autoSpaceDE/>
        <w:autoSpaceDN/>
        <w:bidi w:val="0"/>
        <w:adjustRightInd/>
        <w:snapToGrid/>
        <w:spacing w:line="360" w:lineRule="exact"/>
        <w:ind w:firstLine="442" w:firstLineChars="200"/>
        <w:textAlignment w:val="auto"/>
        <w:rPr>
          <w:rFonts w:hint="eastAsia" w:ascii="宋体" w:hAnsi="宋体" w:cs="宋体"/>
          <w:color w:val="auto"/>
          <w:sz w:val="22"/>
          <w:szCs w:val="22"/>
          <w:highlight w:val="none"/>
          <w:u w:val="single"/>
        </w:rPr>
      </w:pPr>
      <w:r>
        <w:rPr>
          <w:rFonts w:hint="eastAsia" w:ascii="宋体" w:hAnsi="宋体" w:cs="宋体"/>
          <w:b/>
          <w:color w:val="auto"/>
          <w:sz w:val="22"/>
          <w:szCs w:val="22"/>
          <w:highlight w:val="none"/>
          <w:u w:val="single"/>
        </w:rPr>
        <w:t>▲</w:t>
      </w:r>
      <w:r>
        <w:rPr>
          <w:rFonts w:hint="eastAsia" w:ascii="宋体" w:hAnsi="宋体" w:cs="宋体"/>
          <w:color w:val="auto"/>
          <w:sz w:val="22"/>
          <w:szCs w:val="22"/>
          <w:highlight w:val="none"/>
          <w:u w:val="single"/>
        </w:rPr>
        <w:t>（4）对属于保险责任范围，且索赔材料齐全的校园责任险案件，赔付时效基础为：赔付金额2000元以内3个工作日、赔付金额2001元至</w:t>
      </w:r>
      <w:r>
        <w:rPr>
          <w:rFonts w:hint="eastAsia" w:ascii="宋体" w:hAnsi="宋体" w:cs="宋体"/>
          <w:color w:val="auto"/>
          <w:sz w:val="22"/>
          <w:szCs w:val="22"/>
          <w:highlight w:val="none"/>
          <w:u w:val="single"/>
          <w:lang w:eastAsia="zh-CN"/>
        </w:rPr>
        <w:t>19000</w:t>
      </w:r>
      <w:r>
        <w:rPr>
          <w:rFonts w:hint="eastAsia" w:ascii="宋体" w:hAnsi="宋体" w:cs="宋体"/>
          <w:color w:val="auto"/>
          <w:sz w:val="22"/>
          <w:szCs w:val="22"/>
          <w:highlight w:val="none"/>
          <w:u w:val="single"/>
        </w:rPr>
        <w:t>元5个工作日、赔付金额20001元至100000元7个工作日、赔付金额10万元以上10个工作日内开具赔款通知书。（自收齐索赔材料之日起计算）</w:t>
      </w:r>
    </w:p>
    <w:p w14:paraId="3A1BF9C2">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7、其他服务项目</w:t>
      </w:r>
    </w:p>
    <w:p w14:paraId="08F2398E">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协助采购人为各级教育管理部门做好举办体育比赛、运动会、汇报演出等大型活动时的安全防范工作，提供必要的技术支持，并为活动安排保险方案。</w:t>
      </w:r>
    </w:p>
    <w:p w14:paraId="064E99EE">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8、特色服务要求</w:t>
      </w:r>
    </w:p>
    <w:p w14:paraId="1641535B">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校园责任保险为了更好服务于温州职业技术学院教育行业，</w:t>
      </w:r>
      <w:r>
        <w:rPr>
          <w:rFonts w:hint="eastAsia" w:ascii="宋体" w:hAnsi="宋体" w:cs="宋体"/>
          <w:color w:val="auto"/>
          <w:sz w:val="22"/>
          <w:szCs w:val="22"/>
          <w:highlight w:val="none"/>
          <w:lang w:eastAsia="zh-CN"/>
        </w:rPr>
        <w:t>投标人</w:t>
      </w:r>
      <w:r>
        <w:rPr>
          <w:rFonts w:hint="eastAsia" w:ascii="宋体" w:hAnsi="宋体" w:cs="宋体"/>
          <w:color w:val="auto"/>
          <w:sz w:val="22"/>
          <w:szCs w:val="22"/>
          <w:highlight w:val="none"/>
        </w:rPr>
        <w:t>应充分了解温州职业技术学院的现状及风险状况，并在基础服务项目上增加以下服务内容：</w:t>
      </w:r>
    </w:p>
    <w:p w14:paraId="47F0F33E">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（1）人性化赔付</w:t>
      </w:r>
    </w:p>
    <w:p w14:paraId="5063E1CC">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对难以快速界定保险责任和赔偿金额，但具有特殊社会意义的索赔案件，或者对解决学校与家长之间的纠纷具有重要作用的索赔案件，保险公司应制定出专门针对此类索赔案件的解决方案。方案要切实可行，充分考虑教育行业风险的特殊性和索赔案件的个性。</w:t>
      </w:r>
    </w:p>
    <w:p w14:paraId="3B4CFDF1">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w:t>
      </w:r>
      <w:r>
        <w:rPr>
          <w:rFonts w:hint="eastAsia" w:ascii="宋体" w:hAnsi="宋体" w:cs="宋体"/>
          <w:color w:val="auto"/>
          <w:sz w:val="22"/>
          <w:szCs w:val="22"/>
          <w:highlight w:val="none"/>
          <w:lang w:eastAsia="zh-CN"/>
        </w:rPr>
        <w:t>投标人</w:t>
      </w:r>
      <w:r>
        <w:rPr>
          <w:rFonts w:hint="eastAsia" w:ascii="宋体" w:hAnsi="宋体" w:cs="宋体"/>
          <w:color w:val="auto"/>
          <w:sz w:val="22"/>
          <w:szCs w:val="22"/>
          <w:highlight w:val="none"/>
        </w:rPr>
        <w:t>建有校园责任保险快速理赔机制和绿色理赔通道。</w:t>
      </w:r>
    </w:p>
    <w:p w14:paraId="55F0CAD9">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（2）简易定责服务：对于校方责任不明确的案件， 应当向采购人征求意见，并在参考相关法律法规和规章制度后做出最终定责意见。</w:t>
      </w:r>
    </w:p>
    <w:p w14:paraId="0551624C">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b/>
          <w:bCs/>
          <w:color w:val="auto"/>
          <w:spacing w:val="-6"/>
          <w:sz w:val="22"/>
          <w:szCs w:val="22"/>
          <w:highlight w:val="none"/>
          <w:lang w:val="en-US" w:eastAsia="zh-CN"/>
        </w:rPr>
      </w:pPr>
      <w:r>
        <w:rPr>
          <w:rFonts w:hint="eastAsia" w:ascii="宋体" w:hAnsi="宋体" w:cs="宋体"/>
          <w:color w:val="auto"/>
          <w:sz w:val="22"/>
          <w:szCs w:val="22"/>
          <w:highlight w:val="none"/>
        </w:rPr>
        <w:t>（3）重大事故协调处理机制：为减少校内发生的重大人身伤亡事故对校方的影响，尽快恢复正常的教育教学秩序，承保公司应当协助学校组建“重大事故临时处理小组”，负责协调重大事故的赔偿解决方案。对于案情经过及校方责任基本明确，且采购人与承保公司就赔偿金额初步达成一致意见的，承保公司应当在5个工作日内预付不低于该金额的80%，用以协助学校尽快平息纠纷，所有赔款应直接划到投保人或投保人指定的账户。</w:t>
      </w:r>
    </w:p>
    <w:p w14:paraId="4CF48CE6">
      <w:pPr>
        <w:keepNext w:val="0"/>
        <w:keepLines w:val="0"/>
        <w:pageBreakBefore w:val="0"/>
        <w:kinsoku/>
        <w:topLinePunct w:val="0"/>
        <w:bidi w:val="0"/>
        <w:snapToGrid w:val="0"/>
        <w:spacing w:line="400" w:lineRule="exact"/>
        <w:ind w:left="0" w:leftChars="0" w:right="0" w:rightChars="0"/>
        <w:rPr>
          <w:rFonts w:hint="eastAsia" w:ascii="宋体" w:hAnsi="宋体" w:eastAsia="宋体" w:cs="宋体"/>
          <w:b/>
          <w:bCs/>
          <w:color w:val="auto"/>
          <w:spacing w:val="-6"/>
          <w:sz w:val="22"/>
          <w:szCs w:val="22"/>
          <w:highlight w:val="none"/>
        </w:rPr>
      </w:pPr>
      <w:r>
        <w:rPr>
          <w:rFonts w:hint="eastAsia" w:ascii="宋体" w:hAnsi="宋体" w:eastAsia="宋体" w:cs="宋体"/>
          <w:b/>
          <w:bCs/>
          <w:color w:val="auto"/>
          <w:spacing w:val="-6"/>
          <w:sz w:val="22"/>
          <w:szCs w:val="22"/>
          <w:highlight w:val="none"/>
          <w:lang w:val="en-US" w:eastAsia="zh-CN"/>
        </w:rPr>
        <w:t>四．</w:t>
      </w:r>
      <w:r>
        <w:rPr>
          <w:rFonts w:hint="eastAsia" w:ascii="宋体" w:hAnsi="宋体" w:eastAsia="宋体" w:cs="宋体"/>
          <w:b/>
          <w:bCs/>
          <w:color w:val="auto"/>
          <w:spacing w:val="-6"/>
          <w:sz w:val="22"/>
          <w:szCs w:val="22"/>
          <w:highlight w:val="none"/>
        </w:rPr>
        <w:t>其他</w:t>
      </w:r>
    </w:p>
    <w:p w14:paraId="7CBCE7EF">
      <w:pPr>
        <w:keepNext w:val="0"/>
        <w:keepLines w:val="0"/>
        <w:pageBreakBefore w:val="0"/>
        <w:kinsoku/>
        <w:topLinePunct w:val="0"/>
        <w:bidi w:val="0"/>
        <w:snapToGrid w:val="0"/>
        <w:spacing w:line="400" w:lineRule="exact"/>
        <w:ind w:left="0" w:leftChars="0" w:right="0" w:rightChars="0" w:firstLine="418" w:firstLineChars="200"/>
        <w:jc w:val="left"/>
        <w:rPr>
          <w:rFonts w:hint="eastAsia" w:ascii="宋体" w:hAnsi="宋体" w:eastAsia="宋体" w:cs="宋体"/>
          <w:b/>
          <w:bCs/>
          <w:color w:val="auto"/>
          <w:spacing w:val="-6"/>
          <w:sz w:val="22"/>
          <w:szCs w:val="22"/>
          <w:highlight w:val="none"/>
        </w:rPr>
      </w:pPr>
      <w:r>
        <w:rPr>
          <w:rFonts w:hint="eastAsia" w:ascii="宋体" w:hAnsi="宋体" w:eastAsia="宋体" w:cs="宋体"/>
          <w:b/>
          <w:bCs/>
          <w:color w:val="auto"/>
          <w:spacing w:val="-6"/>
          <w:sz w:val="22"/>
          <w:szCs w:val="22"/>
          <w:highlight w:val="none"/>
        </w:rPr>
        <w:t>1.除招标文件中所明确的采购需求外，欢迎其他能满足本项目采购需求且性所明确采购需求的产品参加投标报价。同时在采购需求偏离表中作出详细对比说明。</w:t>
      </w:r>
    </w:p>
    <w:p w14:paraId="451B9DD7">
      <w:pPr>
        <w:keepNext w:val="0"/>
        <w:keepLines w:val="0"/>
        <w:pageBreakBefore w:val="0"/>
        <w:kinsoku/>
        <w:topLinePunct w:val="0"/>
        <w:bidi w:val="0"/>
        <w:snapToGrid w:val="0"/>
        <w:spacing w:line="400" w:lineRule="exact"/>
        <w:ind w:left="0" w:leftChars="0" w:right="0" w:rightChars="0" w:firstLine="418" w:firstLineChars="200"/>
        <w:jc w:val="left"/>
        <w:rPr>
          <w:rFonts w:hint="eastAsia" w:ascii="宋体" w:hAnsi="宋体" w:eastAsia="宋体" w:cs="宋体"/>
          <w:b/>
          <w:bCs/>
          <w:color w:val="auto"/>
          <w:spacing w:val="-6"/>
          <w:sz w:val="22"/>
          <w:szCs w:val="22"/>
          <w:highlight w:val="none"/>
        </w:rPr>
      </w:pPr>
      <w:r>
        <w:rPr>
          <w:rFonts w:hint="eastAsia" w:ascii="宋体" w:hAnsi="宋体" w:eastAsia="宋体" w:cs="宋体"/>
          <w:b/>
          <w:bCs/>
          <w:color w:val="auto"/>
          <w:spacing w:val="-6"/>
          <w:sz w:val="22"/>
          <w:szCs w:val="22"/>
          <w:highlight w:val="none"/>
        </w:rPr>
        <w:t>2.带“▲且加下划线”的有关条款为实质性条款，投标人必须做出实质性响应，不允许负偏离</w:t>
      </w:r>
      <w:r>
        <w:rPr>
          <w:rFonts w:hint="eastAsia" w:ascii="宋体" w:hAnsi="宋体" w:eastAsia="宋体" w:cs="宋体"/>
          <w:b/>
          <w:bCs/>
          <w:color w:val="auto"/>
          <w:spacing w:val="-6"/>
          <w:sz w:val="22"/>
          <w:highlight w:val="none"/>
        </w:rPr>
        <w:t>（</w:t>
      </w:r>
      <w:r>
        <w:rPr>
          <w:rFonts w:hint="eastAsia" w:ascii="宋体" w:hAnsi="宋体" w:eastAsia="宋体" w:cs="宋体"/>
          <w:b/>
          <w:bCs/>
          <w:color w:val="auto"/>
          <w:spacing w:val="-6"/>
          <w:sz w:val="22"/>
          <w:szCs w:val="22"/>
          <w:highlight w:val="none"/>
        </w:rPr>
        <w:t>负偏离</w:t>
      </w:r>
      <w:r>
        <w:rPr>
          <w:rFonts w:hint="eastAsia" w:ascii="宋体" w:hAnsi="宋体" w:eastAsia="宋体" w:cs="宋体"/>
          <w:b/>
          <w:bCs/>
          <w:color w:val="auto"/>
          <w:spacing w:val="-6"/>
          <w:sz w:val="22"/>
          <w:szCs w:val="22"/>
          <w:highlight w:val="none"/>
          <w:lang w:val="en-US" w:eastAsia="zh-CN"/>
        </w:rPr>
        <w:t>系指</w:t>
      </w:r>
      <w:r>
        <w:rPr>
          <w:rFonts w:hint="eastAsia" w:ascii="宋体" w:hAnsi="宋体" w:eastAsia="宋体" w:cs="宋体"/>
          <w:b/>
          <w:bCs/>
          <w:color w:val="auto"/>
          <w:spacing w:val="-6"/>
          <w:sz w:val="22"/>
          <w:highlight w:val="none"/>
        </w:rPr>
        <w:t>低于采购需求）</w:t>
      </w:r>
      <w:r>
        <w:rPr>
          <w:rFonts w:hint="eastAsia" w:ascii="宋体" w:hAnsi="宋体" w:eastAsia="宋体" w:cs="宋体"/>
          <w:b/>
          <w:bCs/>
          <w:color w:val="auto"/>
          <w:spacing w:val="-6"/>
          <w:sz w:val="22"/>
          <w:szCs w:val="22"/>
          <w:highlight w:val="none"/>
        </w:rPr>
        <w:t>，出现负偏离的将导致投标无效。打★的条款为重要指标，允许负偏离</w:t>
      </w:r>
      <w:r>
        <w:rPr>
          <w:rFonts w:hint="eastAsia" w:ascii="宋体" w:hAnsi="宋体" w:eastAsia="宋体" w:cs="宋体"/>
          <w:b/>
          <w:bCs/>
          <w:color w:val="auto"/>
          <w:spacing w:val="-6"/>
          <w:sz w:val="22"/>
          <w:highlight w:val="none"/>
        </w:rPr>
        <w:t>（</w:t>
      </w:r>
      <w:r>
        <w:rPr>
          <w:rFonts w:hint="eastAsia" w:ascii="宋体" w:hAnsi="宋体" w:eastAsia="宋体" w:cs="宋体"/>
          <w:b/>
          <w:bCs/>
          <w:color w:val="auto"/>
          <w:spacing w:val="-6"/>
          <w:sz w:val="22"/>
          <w:szCs w:val="22"/>
          <w:highlight w:val="none"/>
        </w:rPr>
        <w:t>负偏离</w:t>
      </w:r>
      <w:r>
        <w:rPr>
          <w:rFonts w:hint="eastAsia" w:ascii="宋体" w:hAnsi="宋体" w:eastAsia="宋体" w:cs="宋体"/>
          <w:b/>
          <w:bCs/>
          <w:color w:val="auto"/>
          <w:spacing w:val="-6"/>
          <w:sz w:val="22"/>
          <w:szCs w:val="22"/>
          <w:highlight w:val="none"/>
          <w:lang w:val="en-US" w:eastAsia="zh-CN"/>
        </w:rPr>
        <w:t>系指</w:t>
      </w:r>
      <w:r>
        <w:rPr>
          <w:rFonts w:hint="eastAsia" w:ascii="宋体" w:hAnsi="宋体" w:eastAsia="宋体" w:cs="宋体"/>
          <w:b/>
          <w:bCs/>
          <w:color w:val="auto"/>
          <w:spacing w:val="-6"/>
          <w:sz w:val="22"/>
          <w:highlight w:val="none"/>
        </w:rPr>
        <w:t>低于采购需求或未按采购需求提供相应证明材料）</w:t>
      </w:r>
      <w:r>
        <w:rPr>
          <w:rFonts w:hint="eastAsia" w:ascii="宋体" w:hAnsi="宋体" w:eastAsia="宋体" w:cs="宋体"/>
          <w:b/>
          <w:bCs/>
          <w:color w:val="auto"/>
          <w:spacing w:val="-6"/>
          <w:sz w:val="22"/>
          <w:szCs w:val="22"/>
          <w:highlight w:val="none"/>
        </w:rPr>
        <w:t>，可以在技术评分时会重点扣分，具体在评标办法中体现。</w:t>
      </w:r>
    </w:p>
    <w:p w14:paraId="0F10F0A4">
      <w:pPr>
        <w:keepNext w:val="0"/>
        <w:keepLines w:val="0"/>
        <w:pageBreakBefore w:val="0"/>
        <w:kinsoku/>
        <w:topLinePunct w:val="0"/>
        <w:bidi w:val="0"/>
        <w:snapToGrid w:val="0"/>
        <w:spacing w:line="400" w:lineRule="exact"/>
        <w:ind w:left="0" w:leftChars="0" w:right="0" w:rightChars="0" w:firstLine="418" w:firstLineChars="200"/>
        <w:jc w:val="left"/>
        <w:rPr>
          <w:rFonts w:hint="eastAsia" w:ascii="宋体" w:hAnsi="宋体" w:eastAsia="宋体" w:cs="宋体"/>
          <w:b/>
          <w:bCs/>
          <w:color w:val="auto"/>
          <w:spacing w:val="-6"/>
          <w:sz w:val="22"/>
          <w:szCs w:val="22"/>
          <w:highlight w:val="none"/>
        </w:rPr>
      </w:pPr>
      <w:r>
        <w:rPr>
          <w:rFonts w:hint="eastAsia" w:ascii="宋体" w:hAnsi="宋体" w:eastAsia="宋体" w:cs="宋体"/>
          <w:b/>
          <w:bCs/>
          <w:color w:val="auto"/>
          <w:spacing w:val="-6"/>
          <w:sz w:val="22"/>
          <w:szCs w:val="22"/>
          <w:highlight w:val="none"/>
        </w:rPr>
        <w:t>3.如技术要求中未特别注明需执行的国家相关标准、行业标准、地方标准或者其他标准、规范，则统一执行最新标准、规范。</w:t>
      </w:r>
    </w:p>
    <w:p w14:paraId="0649F055">
      <w:pPr>
        <w:keepNext w:val="0"/>
        <w:keepLines w:val="0"/>
        <w:pageBreakBefore w:val="0"/>
        <w:kinsoku/>
        <w:topLinePunct w:val="0"/>
        <w:bidi w:val="0"/>
        <w:snapToGrid w:val="0"/>
        <w:spacing w:line="400" w:lineRule="exact"/>
        <w:ind w:left="0" w:leftChars="0" w:right="0" w:rightChars="0" w:firstLine="418" w:firstLineChars="200"/>
        <w:jc w:val="left"/>
        <w:rPr>
          <w:rFonts w:hint="eastAsia" w:ascii="宋体" w:hAnsi="宋体" w:eastAsia="宋体" w:cs="宋体"/>
          <w:b/>
          <w:color w:val="auto"/>
          <w:sz w:val="22"/>
          <w:szCs w:val="22"/>
          <w:highlight w:val="none"/>
        </w:rPr>
      </w:pPr>
      <w:r>
        <w:rPr>
          <w:rFonts w:hint="eastAsia" w:ascii="宋体" w:hAnsi="宋体" w:eastAsia="宋体" w:cs="宋体"/>
          <w:b/>
          <w:bCs/>
          <w:color w:val="auto"/>
          <w:spacing w:val="-6"/>
          <w:sz w:val="22"/>
          <w:szCs w:val="22"/>
          <w:highlight w:val="none"/>
        </w:rPr>
        <w:t>4.技术部分中需要提供的证明材料有有效期的必须在有效期内，否则视为未提供。</w:t>
      </w:r>
    </w:p>
    <w:p w14:paraId="2D20ADA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307DAD"/>
    <w:multiLevelType w:val="singleLevel"/>
    <w:tmpl w:val="EF307DAD"/>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EB34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正文文本首行缩进1"/>
    <w:basedOn w:val="3"/>
    <w:qFormat/>
    <w:uiPriority w:val="0"/>
    <w:pPr>
      <w:ind w:firstLine="420" w:firstLineChars="100"/>
    </w:pPr>
    <w:rPr>
      <w:szCs w:val="21"/>
    </w:rPr>
  </w:style>
  <w:style w:type="paragraph" w:styleId="3">
    <w:name w:val="Body Text"/>
    <w:basedOn w:val="1"/>
    <w:next w:val="4"/>
    <w:qFormat/>
    <w:uiPriority w:val="0"/>
    <w:pPr>
      <w:spacing w:after="120"/>
    </w:pPr>
  </w:style>
  <w:style w:type="paragraph" w:customStyle="1" w:styleId="4">
    <w:name w:val="自动更正"/>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annotation text"/>
    <w:basedOn w:val="1"/>
    <w:qFormat/>
    <w:uiPriority w:val="0"/>
    <w:pPr>
      <w:jc w:val="left"/>
    </w:pPr>
  </w:style>
  <w:style w:type="paragraph" w:styleId="6">
    <w:name w:val="Body Text Indent"/>
    <w:basedOn w:val="1"/>
    <w:qFormat/>
    <w:uiPriority w:val="0"/>
    <w:pPr>
      <w:ind w:left="480" w:hanging="480" w:hangingChars="200"/>
    </w:pPr>
    <w:rPr>
      <w:sz w:val="24"/>
    </w:rPr>
  </w:style>
  <w:style w:type="paragraph" w:styleId="7">
    <w:name w:val="Plain Text"/>
    <w:basedOn w:val="1"/>
    <w:qFormat/>
    <w:uiPriority w:val="0"/>
    <w:pPr>
      <w:widowControl/>
      <w:overflowPunct w:val="0"/>
      <w:autoSpaceDE w:val="0"/>
      <w:autoSpaceDN w:val="0"/>
      <w:adjustRightInd w:val="0"/>
      <w:jc w:val="left"/>
      <w:textAlignment w:val="baseline"/>
    </w:pPr>
    <w:rPr>
      <w:rFonts w:ascii="宋体" w:hAnsi="Courier New"/>
      <w:sz w:val="24"/>
    </w:rPr>
  </w:style>
  <w:style w:type="paragraph" w:customStyle="1" w:styleId="10">
    <w:name w:val="正文文字"/>
    <w:basedOn w:val="1"/>
    <w:qFormat/>
    <w:uiPriority w:val="0"/>
    <w:pPr>
      <w:widowControl/>
      <w:spacing w:line="952" w:lineRule="atLeast"/>
      <w:ind w:firstLine="419"/>
    </w:pPr>
    <w:rPr>
      <w:b/>
      <w:color w:val="000000"/>
      <w:sz w:val="44"/>
      <w:u w:val="none" w:color="00000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2025-08-05T10:25:28Z</dcterms:created>
  <dc:creator>82705</dc:creator>
  <cp:lastModifiedBy></cp:lastModifiedBy>
  <dcterms:modified xsi:type="dcterms:W3CDTF">2025-08-05T10:25:53Z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eyJoZGlkIjoiMzM2ZGE2NDJkNjdkZmVhMjVlMmE0NmFkY2ZmM2U1N2MiLCJ1c2VySWQiOiIzMTY0NDUwMTMifQ==</vt:lpwstr>
  </property>
  <property fmtid="{D5CDD505-2E9C-101B-9397-08002B2CF9AE}" pid="4" name="ICV">
    <vt:lpwstr>70F9098BFC4E4357AEF1F25F145F7754_12</vt:lpwstr>
  </property>
</Properties>
</file>