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napToGrid w:val="0"/>
        <w:spacing w:line="400" w:lineRule="exact"/>
        <w:jc w:val="center"/>
        <w:rPr>
          <w:rFonts w:hint="eastAsia" w:ascii="宋体" w:hAnsi="宋体" w:cs="宋体"/>
          <w:b/>
          <w:spacing w:val="-6"/>
          <w:sz w:val="22"/>
          <w:szCs w:val="22"/>
          <w:highlight w:val="none"/>
        </w:rPr>
      </w:pPr>
      <w:bookmarkStart w:id="0" w:name="_GoBack"/>
      <w:r>
        <w:rPr>
          <w:rFonts w:hint="eastAsia" w:ascii="宋体" w:hAnsi="宋体" w:cs="宋体"/>
          <w:b/>
          <w:spacing w:val="-6"/>
          <w:sz w:val="22"/>
          <w:szCs w:val="22"/>
          <w:highlight w:val="none"/>
        </w:rPr>
        <w:t>单一来源采购需求</w:t>
      </w:r>
    </w:p>
    <w:bookmarkEnd w:id="0"/>
    <w:p>
      <w:pPr>
        <w:numPr>
          <w:ilvl w:val="0"/>
          <w:numId w:val="1"/>
        </w:numPr>
        <w:snapToGrid w:val="0"/>
        <w:spacing w:line="40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采购内容及数量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913"/>
        <w:gridCol w:w="1677"/>
        <w:gridCol w:w="1773"/>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7" w:type="dxa"/>
            <w:noWrap w:val="0"/>
            <w:vAlign w:val="center"/>
          </w:tcPr>
          <w:p>
            <w:pPr>
              <w:widowControl/>
              <w:spacing w:line="400" w:lineRule="exact"/>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序号</w:t>
            </w:r>
          </w:p>
        </w:tc>
        <w:tc>
          <w:tcPr>
            <w:tcW w:w="3913" w:type="dxa"/>
            <w:noWrap w:val="0"/>
            <w:vAlign w:val="center"/>
          </w:tcPr>
          <w:p>
            <w:pPr>
              <w:widowControl/>
              <w:spacing w:line="400" w:lineRule="exact"/>
              <w:jc w:val="center"/>
              <w:rPr>
                <w:rFonts w:hint="eastAsia" w:ascii="宋体" w:hAnsi="宋体" w:cs="宋体"/>
                <w:b/>
                <w:kern w:val="0"/>
                <w:sz w:val="22"/>
                <w:szCs w:val="22"/>
                <w:highlight w:val="none"/>
              </w:rPr>
            </w:pPr>
            <w:r>
              <w:rPr>
                <w:rFonts w:hint="eastAsia" w:ascii="宋体" w:hAnsi="宋体" w:cs="宋体"/>
                <w:b/>
                <w:kern w:val="0"/>
                <w:sz w:val="22"/>
                <w:szCs w:val="22"/>
                <w:highlight w:val="none"/>
              </w:rPr>
              <w:t>项目</w:t>
            </w:r>
            <w:r>
              <w:rPr>
                <w:rFonts w:hint="eastAsia" w:ascii="宋体" w:hAnsi="宋体" w:cs="宋体"/>
                <w:b/>
                <w:bCs/>
                <w:kern w:val="0"/>
                <w:sz w:val="22"/>
                <w:szCs w:val="22"/>
                <w:highlight w:val="none"/>
              </w:rPr>
              <w:t>名称</w:t>
            </w:r>
          </w:p>
        </w:tc>
        <w:tc>
          <w:tcPr>
            <w:tcW w:w="1677" w:type="dxa"/>
            <w:noWrap w:val="0"/>
            <w:vAlign w:val="center"/>
          </w:tcPr>
          <w:p>
            <w:pPr>
              <w:widowControl/>
              <w:spacing w:line="400" w:lineRule="exact"/>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数量</w:t>
            </w:r>
          </w:p>
        </w:tc>
        <w:tc>
          <w:tcPr>
            <w:tcW w:w="1773" w:type="dxa"/>
            <w:noWrap w:val="0"/>
            <w:vAlign w:val="center"/>
          </w:tcPr>
          <w:p>
            <w:pPr>
              <w:widowControl/>
              <w:spacing w:line="400" w:lineRule="exact"/>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预算金额（万元）</w:t>
            </w:r>
          </w:p>
        </w:tc>
        <w:tc>
          <w:tcPr>
            <w:tcW w:w="1629" w:type="dxa"/>
            <w:noWrap w:val="0"/>
            <w:vAlign w:val="center"/>
          </w:tcPr>
          <w:p>
            <w:pPr>
              <w:widowControl/>
              <w:spacing w:line="400" w:lineRule="exact"/>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39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2021年浙江省职业教育活动周浙江新闻客户端直播服务</w:t>
            </w:r>
          </w:p>
        </w:tc>
        <w:tc>
          <w:tcPr>
            <w:tcW w:w="16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rPr>
              <w:t>1</w:t>
            </w:r>
            <w:r>
              <w:rPr>
                <w:rFonts w:hint="eastAsia" w:ascii="宋体" w:hAnsi="宋体" w:cs="宋体"/>
                <w:sz w:val="22"/>
                <w:szCs w:val="22"/>
                <w:highlight w:val="none"/>
                <w:lang w:eastAsia="zh-CN"/>
              </w:rPr>
              <w:t>项</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16.5</w:t>
            </w: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2"/>
                <w:szCs w:val="22"/>
                <w:highlight w:val="none"/>
              </w:rPr>
            </w:pPr>
          </w:p>
        </w:tc>
      </w:tr>
    </w:tbl>
    <w:p>
      <w:pPr>
        <w:pStyle w:val="2"/>
        <w:numPr>
          <w:ilvl w:val="0"/>
          <w:numId w:val="0"/>
        </w:numPr>
        <w:ind w:right="-336" w:rightChars="-120"/>
        <w:rPr>
          <w:rFonts w:hint="eastAsia"/>
          <w:highlight w:val="none"/>
        </w:rPr>
      </w:pPr>
    </w:p>
    <w:p>
      <w:pPr>
        <w:pStyle w:val="3"/>
        <w:spacing w:line="360" w:lineRule="exact"/>
        <w:ind w:firstLine="0" w:firstLineChars="0"/>
        <w:rPr>
          <w:rFonts w:hint="eastAsia" w:hAnsi="宋体" w:cs="宋体"/>
          <w:b w:val="0"/>
          <w:spacing w:val="-6"/>
          <w:sz w:val="22"/>
          <w:szCs w:val="22"/>
          <w:highlight w:val="none"/>
        </w:rPr>
      </w:pPr>
      <w:r>
        <w:rPr>
          <w:rFonts w:hint="eastAsia" w:ascii="宋体" w:hAnsi="宋体" w:cs="宋体"/>
          <w:spacing w:val="-6"/>
          <w:sz w:val="22"/>
          <w:szCs w:val="22"/>
          <w:highlight w:val="none"/>
        </w:rPr>
        <w:t>二、</w:t>
      </w:r>
      <w:r>
        <w:rPr>
          <w:rFonts w:hint="eastAsia" w:hAnsi="宋体" w:cs="宋体"/>
          <w:bCs w:val="0"/>
          <w:spacing w:val="-6"/>
          <w:sz w:val="22"/>
          <w:szCs w:val="22"/>
          <w:highlight w:val="none"/>
        </w:rPr>
        <w:t>商务要求（技术要求里</w:t>
      </w:r>
      <w:r>
        <w:rPr>
          <w:rFonts w:hint="eastAsia" w:hAnsi="宋体" w:cs="宋体"/>
          <w:spacing w:val="-6"/>
          <w:sz w:val="22"/>
          <w:szCs w:val="22"/>
          <w:highlight w:val="none"/>
        </w:rPr>
        <w:t>另有注明的以技术要求为准）</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2"/>
        <w:gridCol w:w="78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▲付款条件</w:t>
            </w:r>
          </w:p>
        </w:tc>
        <w:tc>
          <w:tcPr>
            <w:tcW w:w="78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u w:val="single"/>
              </w:rPr>
              <w:t>完成直播服务后甲方无异议，15个工作日内向乙方支付100%合同价款（乙方必须先开具合同金额100%的增值税普通发票）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pStyle w:val="4"/>
              <w:snapToGrid w:val="0"/>
              <w:spacing w:before="0" w:beforeLines="0" w:after="0" w:afterLines="0" w:line="360" w:lineRule="exact"/>
              <w:jc w:val="center"/>
              <w:outlineLvl w:val="0"/>
              <w:rPr>
                <w:rFonts w:hint="eastAsia" w:hAnsi="宋体" w:cs="宋体"/>
                <w:spacing w:val="-6"/>
                <w:sz w:val="22"/>
                <w:szCs w:val="22"/>
                <w:highlight w:val="none"/>
              </w:rPr>
            </w:pPr>
            <w:r>
              <w:rPr>
                <w:rFonts w:hint="eastAsia" w:hAnsi="宋体" w:cs="宋体"/>
                <w:spacing w:val="-6"/>
                <w:sz w:val="22"/>
                <w:szCs w:val="22"/>
                <w:highlight w:val="none"/>
              </w:rPr>
              <w:t>服务期</w:t>
            </w:r>
          </w:p>
        </w:tc>
        <w:tc>
          <w:tcPr>
            <w:tcW w:w="7874"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eastAsia="宋体" w:cs="宋体"/>
                <w:spacing w:val="-6"/>
                <w:sz w:val="22"/>
                <w:szCs w:val="22"/>
                <w:highlight w:val="none"/>
                <w:lang w:eastAsia="zh-CN"/>
              </w:rPr>
            </w:pPr>
            <w:r>
              <w:rPr>
                <w:rFonts w:hint="eastAsia" w:ascii="宋体" w:hAnsi="宋体" w:eastAsia="宋体" w:cs="宋体"/>
                <w:sz w:val="22"/>
                <w:szCs w:val="22"/>
                <w:highlight w:val="none"/>
              </w:rPr>
              <w:t>直播时间为2021年5月23日，专题片制作完成时间为5月2</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日之前。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exact"/>
              <w:jc w:val="center"/>
              <w:rPr>
                <w:rFonts w:hint="eastAsia" w:ascii="宋体" w:hAnsi="宋体" w:cs="宋体"/>
                <w:spacing w:val="-6"/>
                <w:sz w:val="22"/>
                <w:szCs w:val="22"/>
                <w:highlight w:val="none"/>
              </w:rPr>
            </w:pPr>
            <w:r>
              <w:rPr>
                <w:rFonts w:hint="eastAsia" w:ascii="宋体" w:hAnsi="宋体" w:cs="宋体"/>
                <w:spacing w:val="-6"/>
                <w:sz w:val="22"/>
                <w:szCs w:val="22"/>
                <w:highlight w:val="none"/>
              </w:rPr>
              <w:t>服务地点</w:t>
            </w:r>
          </w:p>
        </w:tc>
        <w:tc>
          <w:tcPr>
            <w:tcW w:w="78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left"/>
              <w:textAlignment w:val="center"/>
              <w:rPr>
                <w:rFonts w:hint="eastAsia" w:ascii="宋体" w:hAnsi="宋体" w:cs="宋体"/>
                <w:spacing w:val="-6"/>
                <w:sz w:val="22"/>
                <w:szCs w:val="22"/>
                <w:highlight w:val="none"/>
              </w:rPr>
            </w:pPr>
            <w:r>
              <w:rPr>
                <w:rFonts w:hint="eastAsia" w:ascii="宋体" w:hAnsi="宋体" w:cs="宋体"/>
                <w:kern w:val="0"/>
                <w:sz w:val="22"/>
                <w:szCs w:val="22"/>
                <w:highlight w:val="none"/>
              </w:rPr>
              <w:t>地点：</w:t>
            </w:r>
            <w:r>
              <w:rPr>
                <w:rFonts w:hint="eastAsia" w:ascii="宋体" w:hAnsi="宋体" w:cs="宋体"/>
                <w:kern w:val="0"/>
                <w:sz w:val="22"/>
                <w:szCs w:val="22"/>
                <w:highlight w:val="none"/>
                <w:lang w:eastAsia="zh-CN"/>
              </w:rPr>
              <w:t>温州职业技术学院</w:t>
            </w:r>
            <w:r>
              <w:rPr>
                <w:rFonts w:hint="eastAsia" w:ascii="宋体" w:hAnsi="宋体" w:cs="宋体"/>
                <w:kern w:val="0"/>
                <w:sz w:val="22"/>
                <w:szCs w:val="22"/>
                <w:highlight w:val="none"/>
              </w:rPr>
              <w:t>指定地点。</w:t>
            </w:r>
          </w:p>
        </w:tc>
      </w:tr>
    </w:tbl>
    <w:p>
      <w:pPr>
        <w:numPr>
          <w:ilvl w:val="0"/>
          <w:numId w:val="1"/>
        </w:numPr>
        <w:spacing w:line="400" w:lineRule="exact"/>
        <w:ind w:left="0" w:leftChars="0" w:firstLine="0" w:firstLineChars="0"/>
        <w:rPr>
          <w:rFonts w:hint="eastAsia" w:ascii="宋体" w:hAnsi="宋体" w:cs="宋体"/>
          <w:b/>
          <w:spacing w:val="-6"/>
          <w:sz w:val="22"/>
          <w:szCs w:val="22"/>
          <w:highlight w:val="none"/>
        </w:rPr>
      </w:pPr>
      <w:r>
        <w:rPr>
          <w:rFonts w:hint="eastAsia" w:ascii="宋体" w:hAnsi="宋体" w:cs="宋体"/>
          <w:b/>
          <w:spacing w:val="-6"/>
          <w:sz w:val="22"/>
          <w:szCs w:val="22"/>
          <w:highlight w:val="none"/>
        </w:rPr>
        <w:t>技术要求</w:t>
      </w:r>
    </w:p>
    <w:p>
      <w:pPr>
        <w:rPr>
          <w:rFonts w:hint="eastAsia" w:ascii="宋体" w:hAnsi="宋体" w:eastAsia="宋体" w:cs="宋体"/>
          <w:b/>
          <w:sz w:val="22"/>
          <w:szCs w:val="22"/>
          <w:highlight w:val="none"/>
        </w:rPr>
      </w:pPr>
      <w:r>
        <w:rPr>
          <w:rFonts w:hint="eastAsia" w:ascii="宋体" w:hAnsi="宋体" w:eastAsia="宋体" w:cs="宋体"/>
          <w:b/>
          <w:sz w:val="22"/>
          <w:szCs w:val="22"/>
          <w:highlight w:val="none"/>
        </w:rPr>
        <w:t>目标任务：</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（一）结合2021年浙江省职业教育活动周现场活动，对浙江省职业教育活动周启动仪式及职业教育创新发展高峰论坛等进行网络直播。</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（二）围绕浙江省双高单位建设成果，展示职业教育发展情况，制作专题片，片长约5分钟。</w:t>
      </w:r>
    </w:p>
    <w:p>
      <w:pPr>
        <w:rPr>
          <w:rFonts w:hint="eastAsia" w:ascii="宋体" w:hAnsi="宋体" w:eastAsia="宋体" w:cs="宋体"/>
          <w:sz w:val="22"/>
          <w:szCs w:val="22"/>
          <w:highlight w:val="none"/>
        </w:rPr>
      </w:pPr>
    </w:p>
    <w:p>
      <w:pPr>
        <w:rPr>
          <w:rFonts w:hint="eastAsia" w:ascii="宋体" w:hAnsi="宋体" w:eastAsia="宋体" w:cs="宋体"/>
          <w:b/>
          <w:sz w:val="22"/>
          <w:szCs w:val="22"/>
          <w:highlight w:val="none"/>
        </w:rPr>
      </w:pPr>
      <w:r>
        <w:rPr>
          <w:rFonts w:hint="eastAsia" w:ascii="宋体" w:hAnsi="宋体" w:eastAsia="宋体" w:cs="宋体"/>
          <w:b/>
          <w:sz w:val="22"/>
          <w:szCs w:val="22"/>
          <w:highlight w:val="none"/>
        </w:rPr>
        <w:t>质量要求：</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直播及专题片制作内容需符合2021年浙江省职业教育活动周主题，展示新时代浙江职业教育的特色、成绩和发展蓝图，展示双高院校和专业的人才培养特色，展示服务地方经济发展的力量。</w:t>
      </w:r>
    </w:p>
    <w:p>
      <w:pPr>
        <w:rPr>
          <w:rFonts w:hint="eastAsia" w:ascii="宋体" w:hAnsi="宋体" w:eastAsia="宋体" w:cs="宋体"/>
          <w:sz w:val="22"/>
          <w:szCs w:val="22"/>
          <w:highlight w:val="none"/>
        </w:rPr>
      </w:pPr>
    </w:p>
    <w:p>
      <w:pPr>
        <w:rPr>
          <w:rFonts w:hint="eastAsia" w:ascii="宋体" w:hAnsi="宋体" w:eastAsia="宋体" w:cs="宋体"/>
          <w:b/>
          <w:sz w:val="22"/>
          <w:szCs w:val="22"/>
          <w:highlight w:val="none"/>
        </w:rPr>
      </w:pPr>
      <w:r>
        <w:rPr>
          <w:rFonts w:hint="eastAsia" w:ascii="宋体" w:hAnsi="宋体" w:eastAsia="宋体" w:cs="宋体"/>
          <w:b/>
          <w:sz w:val="22"/>
          <w:szCs w:val="22"/>
          <w:highlight w:val="none"/>
        </w:rPr>
        <w:t>完成时间：</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直播时间为2021年5月23日，专题片制作完成时间为5月2</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日之前。</w:t>
      </w:r>
    </w:p>
    <w:p>
      <w:pPr>
        <w:rPr>
          <w:rFonts w:hint="eastAsia" w:ascii="宋体" w:hAnsi="宋体" w:eastAsia="宋体" w:cs="宋体"/>
          <w:sz w:val="22"/>
          <w:szCs w:val="22"/>
          <w:highlight w:val="none"/>
        </w:rPr>
      </w:pPr>
    </w:p>
    <w:p>
      <w:pPr>
        <w:rPr>
          <w:rFonts w:hint="eastAsia" w:ascii="宋体" w:hAnsi="宋体" w:eastAsia="宋体" w:cs="宋体"/>
          <w:b/>
          <w:sz w:val="22"/>
          <w:szCs w:val="22"/>
          <w:highlight w:val="none"/>
        </w:rPr>
      </w:pPr>
      <w:r>
        <w:rPr>
          <w:rFonts w:hint="eastAsia" w:ascii="宋体" w:hAnsi="宋体" w:eastAsia="宋体" w:cs="宋体"/>
          <w:b/>
          <w:sz w:val="22"/>
          <w:szCs w:val="22"/>
          <w:highlight w:val="none"/>
        </w:rPr>
        <w:t>直播及发布平台：</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浙江新闻客户端（首页）、教育之江等相关微信、网站同步直播。</w:t>
      </w:r>
    </w:p>
    <w:p>
      <w:pPr>
        <w:rPr>
          <w:rFonts w:hint="eastAsia" w:ascii="宋体" w:hAnsi="宋体" w:eastAsia="宋体" w:cs="宋体"/>
          <w:sz w:val="22"/>
          <w:szCs w:val="22"/>
          <w:highlight w:val="none"/>
        </w:rPr>
      </w:pPr>
    </w:p>
    <w:p>
      <w:pPr>
        <w:rPr>
          <w:rFonts w:hint="eastAsia" w:ascii="宋体" w:hAnsi="宋体" w:eastAsia="宋体" w:cs="宋体"/>
          <w:b/>
          <w:sz w:val="22"/>
          <w:szCs w:val="22"/>
          <w:highlight w:val="none"/>
        </w:rPr>
      </w:pPr>
      <w:r>
        <w:rPr>
          <w:rFonts w:hint="eastAsia" w:ascii="宋体" w:hAnsi="宋体" w:eastAsia="宋体" w:cs="宋体"/>
          <w:b/>
          <w:sz w:val="22"/>
          <w:szCs w:val="22"/>
          <w:highlight w:val="none"/>
        </w:rPr>
        <w:t>直播及专题片制作设备：</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（一）直播设备：</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3套有线或无线传输设备、1个导播台及3套摄像设备（QUK400趣看采编录播一体机2台配角架、松下 AG-UX180MC高清摄像机一台配角架和索尼PXW-Z90高清摄像机）</w:t>
      </w:r>
    </w:p>
    <w:p>
      <w:pPr>
        <w:rPr>
          <w:rFonts w:hint="eastAsia" w:ascii="宋体" w:hAnsi="宋体" w:eastAsia="宋体" w:cs="宋体"/>
          <w:sz w:val="22"/>
          <w:szCs w:val="22"/>
          <w:highlight w:val="none"/>
        </w:rPr>
      </w:pPr>
    </w:p>
    <w:p>
      <w:pPr>
        <w:rPr>
          <w:rFonts w:hint="eastAsia" w:ascii="宋体" w:hAnsi="宋体" w:eastAsia="宋体" w:cs="宋体"/>
          <w:sz w:val="22"/>
          <w:szCs w:val="22"/>
          <w:highlight w:val="none"/>
        </w:rPr>
      </w:pPr>
      <w:r>
        <w:rPr>
          <w:rFonts w:hint="eastAsia" w:ascii="宋体" w:hAnsi="宋体" w:eastAsia="宋体" w:cs="宋体"/>
          <w:sz w:val="22"/>
          <w:szCs w:val="22"/>
          <w:highlight w:val="none"/>
        </w:rPr>
        <w:t>（二）专题片制作设备：</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根据素材和脚本，使用27寸imac一体机，macbookpro剪辑。软件方面，包含但不仅限于剪辑软件pr/fcp，合成软件ae，混音软件au及调色软件reslove等。</w:t>
      </w:r>
    </w:p>
    <w:p>
      <w:pPr>
        <w:pStyle w:val="2"/>
        <w:numPr>
          <w:ilvl w:val="0"/>
          <w:numId w:val="0"/>
        </w:numPr>
        <w:ind w:leftChars="0" w:right="-336" w:rightChars="-120"/>
        <w:rPr>
          <w:rFonts w:hint="eastAsia" w:cs="宋体"/>
          <w:kern w:val="0"/>
          <w:sz w:val="22"/>
          <w:szCs w:val="22"/>
          <w:highlight w:val="none"/>
          <w:lang w:val="en-US" w:eastAsia="zh-CN" w:bidi="ar-SA"/>
        </w:rPr>
      </w:pPr>
      <w:r>
        <w:rPr>
          <w:rFonts w:hint="eastAsia" w:cs="宋体"/>
          <w:kern w:val="0"/>
          <w:sz w:val="22"/>
          <w:szCs w:val="22"/>
          <w:highlight w:val="none"/>
          <w:lang w:val="en-US" w:eastAsia="zh-CN" w:bidi="ar-SA"/>
        </w:rPr>
        <w:t>具体制片要求如下：</w:t>
      </w:r>
    </w:p>
    <w:p>
      <w:pPr>
        <w:pStyle w:val="2"/>
        <w:numPr>
          <w:ilvl w:val="0"/>
          <w:numId w:val="2"/>
        </w:numPr>
        <w:ind w:left="425" w:leftChars="0" w:right="-336" w:rightChars="-120" w:hanging="425" w:firstLineChars="0"/>
        <w:rPr>
          <w:rFonts w:hint="eastAsia" w:cs="宋体"/>
          <w:kern w:val="0"/>
          <w:sz w:val="22"/>
          <w:szCs w:val="22"/>
          <w:highlight w:val="none"/>
          <w:lang w:val="en-US" w:eastAsia="zh-CN" w:bidi="ar-SA"/>
        </w:rPr>
      </w:pPr>
      <w:r>
        <w:rPr>
          <w:rFonts w:hint="eastAsia" w:cs="宋体"/>
          <w:kern w:val="0"/>
          <w:sz w:val="22"/>
          <w:szCs w:val="22"/>
          <w:highlight w:val="none"/>
          <w:lang w:val="en-US" w:eastAsia="zh-CN" w:bidi="ar-SA"/>
        </w:rPr>
        <w:t>画幅尺寸：1920＊1080</w:t>
      </w:r>
    </w:p>
    <w:p>
      <w:pPr>
        <w:pStyle w:val="2"/>
        <w:numPr>
          <w:ilvl w:val="0"/>
          <w:numId w:val="2"/>
        </w:numPr>
        <w:ind w:left="425" w:leftChars="0" w:right="-336" w:rightChars="-120" w:hanging="425" w:firstLineChars="0"/>
        <w:rPr>
          <w:rFonts w:hint="eastAsia" w:cs="宋体"/>
          <w:kern w:val="0"/>
          <w:sz w:val="22"/>
          <w:szCs w:val="22"/>
          <w:highlight w:val="none"/>
          <w:lang w:val="en-US" w:eastAsia="zh-CN" w:bidi="ar-SA"/>
        </w:rPr>
      </w:pPr>
      <w:r>
        <w:rPr>
          <w:rFonts w:hint="eastAsia" w:cs="宋体"/>
          <w:kern w:val="0"/>
          <w:sz w:val="22"/>
          <w:szCs w:val="22"/>
          <w:highlight w:val="none"/>
          <w:lang w:val="en-US" w:eastAsia="zh-CN" w:bidi="ar-SA"/>
        </w:rPr>
        <w:t>画幅比例：4:3</w:t>
      </w:r>
    </w:p>
    <w:p>
      <w:pPr>
        <w:pStyle w:val="2"/>
        <w:numPr>
          <w:ilvl w:val="0"/>
          <w:numId w:val="2"/>
        </w:numPr>
        <w:ind w:left="425" w:leftChars="0" w:right="-336" w:rightChars="-120" w:hanging="425" w:firstLineChars="0"/>
        <w:rPr>
          <w:rFonts w:hint="eastAsia" w:cs="宋体"/>
          <w:kern w:val="0"/>
          <w:sz w:val="22"/>
          <w:szCs w:val="22"/>
          <w:highlight w:val="none"/>
          <w:lang w:val="en-US" w:eastAsia="zh-CN" w:bidi="ar-SA"/>
        </w:rPr>
      </w:pPr>
      <w:r>
        <w:rPr>
          <w:rFonts w:hint="eastAsia" w:cs="宋体"/>
          <w:kern w:val="0"/>
          <w:sz w:val="22"/>
          <w:szCs w:val="22"/>
          <w:highlight w:val="none"/>
          <w:lang w:val="en-US" w:eastAsia="zh-CN" w:bidi="ar-SA"/>
        </w:rPr>
        <w:t>视频时长：5分钟</w:t>
      </w:r>
    </w:p>
    <w:p>
      <w:pPr>
        <w:pStyle w:val="2"/>
        <w:numPr>
          <w:ilvl w:val="0"/>
          <w:numId w:val="2"/>
        </w:numPr>
        <w:ind w:left="425" w:leftChars="0" w:right="-336" w:rightChars="-120" w:hanging="425" w:firstLineChars="0"/>
        <w:rPr>
          <w:rFonts w:hint="eastAsia" w:cs="宋体"/>
          <w:kern w:val="0"/>
          <w:sz w:val="22"/>
          <w:szCs w:val="22"/>
          <w:highlight w:val="none"/>
          <w:lang w:val="en-US" w:eastAsia="zh-CN" w:bidi="ar-SA"/>
        </w:rPr>
      </w:pPr>
      <w:r>
        <w:rPr>
          <w:rFonts w:hint="eastAsia" w:cs="宋体"/>
          <w:kern w:val="0"/>
          <w:sz w:val="22"/>
          <w:szCs w:val="22"/>
          <w:highlight w:val="none"/>
          <w:lang w:val="en-US" w:eastAsia="zh-CN" w:bidi="ar-SA"/>
        </w:rPr>
        <w:t>文件格式：MP4</w:t>
      </w:r>
    </w:p>
    <w:p>
      <w:pPr>
        <w:pStyle w:val="2"/>
        <w:numPr>
          <w:ilvl w:val="0"/>
          <w:numId w:val="2"/>
        </w:numPr>
        <w:ind w:left="425" w:leftChars="0" w:right="-336" w:rightChars="-120" w:hanging="425" w:firstLineChars="0"/>
        <w:rPr>
          <w:rFonts w:hint="eastAsia" w:cs="宋体"/>
          <w:kern w:val="0"/>
          <w:sz w:val="22"/>
          <w:szCs w:val="22"/>
          <w:highlight w:val="none"/>
          <w:lang w:val="en-US" w:eastAsia="zh-CN" w:bidi="ar-SA"/>
        </w:rPr>
      </w:pPr>
      <w:r>
        <w:rPr>
          <w:rFonts w:hint="eastAsia" w:cs="宋体"/>
          <w:kern w:val="0"/>
          <w:sz w:val="22"/>
          <w:szCs w:val="22"/>
          <w:highlight w:val="none"/>
          <w:lang w:val="en-US" w:eastAsia="zh-CN" w:bidi="ar-SA"/>
        </w:rPr>
        <w:t>成片文件大小:1.5G左右</w:t>
      </w:r>
    </w:p>
    <w:p>
      <w:pPr>
        <w:pStyle w:val="2"/>
        <w:numPr>
          <w:ilvl w:val="0"/>
          <w:numId w:val="2"/>
        </w:numPr>
        <w:ind w:left="425" w:leftChars="0" w:right="-336" w:rightChars="-120" w:hanging="425" w:firstLineChars="0"/>
        <w:rPr>
          <w:rFonts w:hint="eastAsia" w:cs="宋体"/>
          <w:kern w:val="0"/>
          <w:sz w:val="22"/>
          <w:szCs w:val="22"/>
          <w:highlight w:val="none"/>
          <w:lang w:val="en-US" w:eastAsia="zh-CN" w:bidi="ar-SA"/>
        </w:rPr>
      </w:pPr>
      <w:r>
        <w:rPr>
          <w:rFonts w:hint="eastAsia" w:cs="宋体"/>
          <w:kern w:val="0"/>
          <w:sz w:val="22"/>
          <w:szCs w:val="22"/>
          <w:highlight w:val="none"/>
          <w:lang w:val="en-US" w:eastAsia="zh-CN" w:bidi="ar-SA"/>
        </w:rPr>
        <w:t>画质精度：1080P</w:t>
      </w:r>
    </w:p>
    <w:p>
      <w:pPr>
        <w:pStyle w:val="2"/>
        <w:numPr>
          <w:ilvl w:val="0"/>
          <w:numId w:val="2"/>
        </w:numPr>
        <w:ind w:left="425" w:leftChars="0" w:right="-336" w:rightChars="-120" w:hanging="425" w:firstLineChars="0"/>
        <w:rPr>
          <w:rFonts w:hint="default" w:ascii="宋体" w:hAnsi="宋体" w:cs="宋体"/>
          <w:kern w:val="0"/>
          <w:sz w:val="22"/>
          <w:szCs w:val="22"/>
          <w:highlight w:val="none"/>
          <w:lang w:val="en-US" w:eastAsia="zh-CN" w:bidi="ar-SA"/>
        </w:rPr>
      </w:pPr>
      <w:r>
        <w:rPr>
          <w:rFonts w:hint="eastAsia" w:cs="宋体"/>
          <w:kern w:val="0"/>
          <w:sz w:val="22"/>
          <w:szCs w:val="22"/>
          <w:highlight w:val="none"/>
          <w:lang w:val="en-US" w:eastAsia="zh-CN" w:bidi="ar-SA"/>
        </w:rPr>
        <w:t>素材提供后3天内能完成制作。</w:t>
      </w:r>
    </w:p>
    <w:p>
      <w:pPr>
        <w:pStyle w:val="2"/>
        <w:ind w:left="0" w:leftChars="0" w:firstLine="0" w:firstLineChars="0"/>
        <w:rPr>
          <w:rFonts w:hint="eastAsia"/>
          <w:highlight w:val="none"/>
        </w:rPr>
      </w:pPr>
    </w:p>
    <w:p>
      <w:pPr>
        <w:rPr>
          <w:rFonts w:hint="eastAsia" w:ascii="宋体" w:hAnsi="宋体" w:eastAsia="宋体" w:cs="宋体"/>
          <w:b/>
          <w:sz w:val="22"/>
          <w:szCs w:val="22"/>
          <w:highlight w:val="none"/>
        </w:rPr>
      </w:pPr>
      <w:r>
        <w:rPr>
          <w:rFonts w:hint="eastAsia" w:ascii="宋体" w:hAnsi="宋体" w:eastAsia="宋体" w:cs="宋体"/>
          <w:b/>
          <w:sz w:val="22"/>
          <w:szCs w:val="22"/>
          <w:highlight w:val="none"/>
        </w:rPr>
        <w:t>完成的任务及品质：</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（一）直播发布：通过浙江新闻客户端（首页）、教育之江等相关微信、网站同步直播。</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（二）专题片：提供成片格式不低于1920*1080，帧速率25P，10bit，采用h.264编码的MP4格式。</w:t>
      </w:r>
    </w:p>
    <w:p>
      <w:pPr>
        <w:pStyle w:val="2"/>
        <w:numPr>
          <w:ilvl w:val="0"/>
          <w:numId w:val="0"/>
        </w:numPr>
        <w:ind w:leftChars="0" w:right="-336" w:rightChars="-120"/>
        <w:rPr>
          <w:rFonts w:hint="eastAsia" w:ascii="宋体" w:hAnsi="宋体" w:eastAsia="宋体" w:cs="宋体"/>
          <w:kern w:val="0"/>
          <w:sz w:val="22"/>
          <w:szCs w:val="22"/>
          <w:highlight w:val="none"/>
          <w:lang w:val="en-US" w:eastAsia="zh-CN" w:bidi="ar-SA"/>
        </w:rPr>
      </w:pPr>
    </w:p>
    <w:p>
      <w:pPr>
        <w:pStyle w:val="2"/>
        <w:numPr>
          <w:ilvl w:val="0"/>
          <w:numId w:val="0"/>
        </w:numPr>
        <w:ind w:leftChars="0" w:right="-336" w:rightChars="-120"/>
        <w:rPr>
          <w:rFonts w:hint="eastAsia" w:cs="宋体"/>
          <w:kern w:val="0"/>
          <w:sz w:val="22"/>
          <w:szCs w:val="22"/>
          <w:highlight w:val="none"/>
          <w:lang w:val="en-US" w:eastAsia="zh-CN" w:bidi="ar-SA"/>
        </w:rPr>
      </w:pPr>
    </w:p>
    <w:p>
      <w:pP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配备的人员：</w:t>
      </w:r>
      <w:r>
        <w:rPr>
          <w:rFonts w:hint="eastAsia" w:ascii="宋体" w:hAnsi="宋体" w:eastAsia="宋体" w:cs="宋体"/>
          <w:sz w:val="22"/>
          <w:szCs w:val="22"/>
          <w:highlight w:val="none"/>
          <w:lang w:eastAsia="zh-CN"/>
        </w:rPr>
        <w:t>请投标单位在响应文件内详细写明具体配备人员。</w:t>
      </w:r>
    </w:p>
    <w:p>
      <w:pPr>
        <w:pStyle w:val="2"/>
        <w:numPr>
          <w:ilvl w:val="0"/>
          <w:numId w:val="0"/>
        </w:numPr>
        <w:ind w:leftChars="0" w:right="-336" w:rightChars="-120"/>
        <w:rPr>
          <w:rFonts w:hint="eastAsia" w:cs="宋体"/>
          <w:kern w:val="0"/>
          <w:sz w:val="22"/>
          <w:szCs w:val="22"/>
          <w:highlight w:val="none"/>
          <w:lang w:val="en-US" w:eastAsia="zh-CN" w:bidi="ar-SA"/>
        </w:rPr>
      </w:pPr>
    </w:p>
    <w:p>
      <w:pPr>
        <w:pStyle w:val="2"/>
        <w:numPr>
          <w:ilvl w:val="0"/>
          <w:numId w:val="0"/>
        </w:numPr>
        <w:ind w:leftChars="0" w:right="-336" w:rightChars="-120"/>
        <w:rPr>
          <w:rFonts w:hint="eastAsia" w:cs="宋体"/>
          <w:kern w:val="0"/>
          <w:sz w:val="22"/>
          <w:szCs w:val="22"/>
          <w:highlight w:val="none"/>
          <w:lang w:val="en-US" w:eastAsia="zh-CN" w:bidi="ar-SA"/>
        </w:rPr>
      </w:pPr>
    </w:p>
    <w:p>
      <w:pPr>
        <w:spacing w:line="400" w:lineRule="exact"/>
        <w:rPr>
          <w:rFonts w:hint="eastAsia" w:ascii="宋体" w:hAnsi="宋体" w:cs="宋体"/>
          <w:b/>
          <w:spacing w:val="-6"/>
          <w:sz w:val="22"/>
          <w:szCs w:val="22"/>
          <w:highlight w:val="none"/>
        </w:rPr>
      </w:pPr>
      <w:r>
        <w:rPr>
          <w:rFonts w:hint="eastAsia" w:ascii="宋体" w:hAnsi="宋体" w:cs="宋体"/>
          <w:b/>
          <w:spacing w:val="-6"/>
          <w:sz w:val="22"/>
          <w:szCs w:val="22"/>
          <w:highlight w:val="none"/>
        </w:rPr>
        <w:t>四、备注</w:t>
      </w:r>
    </w:p>
    <w:p>
      <w:pPr>
        <w:snapToGrid w:val="0"/>
        <w:spacing w:line="400" w:lineRule="exact"/>
        <w:jc w:val="left"/>
        <w:rPr>
          <w:rFonts w:hint="eastAsia" w:ascii="宋体" w:hAnsi="宋体" w:cs="宋体"/>
          <w:b/>
          <w:spacing w:val="-6"/>
          <w:sz w:val="22"/>
          <w:szCs w:val="22"/>
          <w:highlight w:val="none"/>
        </w:rPr>
      </w:pPr>
      <w:r>
        <w:rPr>
          <w:rFonts w:hint="eastAsia" w:ascii="宋体" w:hAnsi="宋体" w:cs="宋体"/>
          <w:b/>
          <w:spacing w:val="-6"/>
          <w:sz w:val="22"/>
          <w:szCs w:val="22"/>
          <w:highlight w:val="none"/>
        </w:rPr>
        <w:t>带“▲且加下划线”的有关技术和商务条款为实质性条款，响应方必须做出实质性响应。除此之外其余的指标、服务要求以及合同条款可在谈判现场，根据谈判小组与供应商的谈判进行变动。</w:t>
      </w:r>
    </w:p>
    <w:p>
      <w:pPr>
        <w:snapToGrid w:val="0"/>
        <w:spacing w:line="400" w:lineRule="exact"/>
        <w:jc w:val="center"/>
        <w:rPr>
          <w:rFonts w:hint="eastAsia" w:ascii="宋体" w:hAnsi="宋体" w:cs="宋体"/>
          <w:b/>
          <w:spacing w:val="-6"/>
          <w:sz w:val="22"/>
          <w:szCs w:val="22"/>
          <w:highlight w:val="none"/>
        </w:rPr>
      </w:pPr>
    </w:p>
    <w:p>
      <w:pPr>
        <w:snapToGrid w:val="0"/>
        <w:spacing w:line="400" w:lineRule="exact"/>
        <w:jc w:val="center"/>
        <w:rPr>
          <w:rFonts w:hint="eastAsia" w:ascii="宋体" w:hAnsi="宋体" w:cs="宋体"/>
          <w:b/>
          <w:spacing w:val="-6"/>
          <w:sz w:val="22"/>
          <w:szCs w:val="22"/>
          <w:highlight w:val="none"/>
        </w:rPr>
      </w:pPr>
    </w:p>
    <w:p>
      <w:pPr>
        <w:snapToGrid w:val="0"/>
        <w:spacing w:line="400" w:lineRule="exact"/>
        <w:jc w:val="center"/>
        <w:rPr>
          <w:rFonts w:hint="eastAsia" w:ascii="宋体" w:hAnsi="宋体" w:cs="宋体"/>
          <w:b/>
          <w:spacing w:val="-6"/>
          <w:sz w:val="22"/>
          <w:szCs w:val="22"/>
          <w:highlight w:val="none"/>
        </w:rPr>
      </w:pPr>
    </w:p>
    <w:p>
      <w:pPr>
        <w:snapToGrid w:val="0"/>
        <w:spacing w:line="400" w:lineRule="exact"/>
        <w:jc w:val="center"/>
        <w:rPr>
          <w:rFonts w:hint="eastAsia" w:ascii="宋体" w:hAnsi="宋体" w:cs="宋体"/>
          <w:b/>
          <w:spacing w:val="-6"/>
          <w:sz w:val="22"/>
          <w:szCs w:val="22"/>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C36116"/>
    <w:multiLevelType w:val="singleLevel"/>
    <w:tmpl w:val="D6C36116"/>
    <w:lvl w:ilvl="0" w:tentative="0">
      <w:start w:val="1"/>
      <w:numFmt w:val="decimal"/>
      <w:lvlText w:val="%1)"/>
      <w:lvlJc w:val="left"/>
      <w:pPr>
        <w:ind w:left="425" w:hanging="425"/>
      </w:pPr>
      <w:rPr>
        <w:rFonts w:hint="default"/>
      </w:rPr>
    </w:lvl>
  </w:abstractNum>
  <w:abstractNum w:abstractNumId="1">
    <w:nsid w:val="509418A9"/>
    <w:multiLevelType w:val="singleLevel"/>
    <w:tmpl w:val="509418A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B2DFA"/>
    <w:rsid w:val="41327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adjustRightInd w:val="0"/>
      <w:spacing w:line="300" w:lineRule="auto"/>
      <w:ind w:left="958" w:rightChars="-120"/>
      <w:jc w:val="left"/>
    </w:pPr>
    <w:rPr>
      <w:rFonts w:ascii="宋体" w:hAnsi="宋体"/>
      <w:sz w:val="28"/>
    </w:rPr>
  </w:style>
  <w:style w:type="paragraph" w:styleId="4">
    <w:name w:val="Plain Text"/>
    <w:basedOn w:val="1"/>
    <w:qFormat/>
    <w:uiPriority w:val="0"/>
    <w:pPr>
      <w:spacing w:before="156" w:beforeLines="50" w:after="156" w:afterLines="50" w:line="400" w:lineRule="atLeast"/>
    </w:pPr>
    <w:rPr>
      <w:rFonts w:ascii="宋体" w:hAnsi="Courier New"/>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博文</cp:lastModifiedBy>
  <dcterms:modified xsi:type="dcterms:W3CDTF">2021-05-14T00:54:04Z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