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both"/>
        <w:rPr>
          <w:rFonts w:ascii="宋体"/>
          <w:b/>
          <w:snapToGrid w:val="0"/>
          <w:color w:val="FF0000"/>
          <w:spacing w:val="-20"/>
          <w:w w:val="65"/>
          <w:kern w:val="0"/>
          <w:sz w:val="48"/>
          <w:szCs w:val="48"/>
        </w:rPr>
      </w:pPr>
    </w:p>
    <w:tbl>
      <w:tblPr>
        <w:tblStyle w:val="17"/>
        <w:tblW w:w="15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496"/>
        <w:gridCol w:w="6237"/>
        <w:gridCol w:w="1088"/>
        <w:gridCol w:w="3061"/>
        <w:gridCol w:w="1758"/>
      </w:tblGrid>
      <w:tr>
        <w:tblPrEx>
          <w:tblCellMar>
            <w:top w:w="0" w:type="dxa"/>
            <w:left w:w="108" w:type="dxa"/>
            <w:bottom w:w="0" w:type="dxa"/>
            <w:right w:w="108" w:type="dxa"/>
          </w:tblCellMar>
        </w:tblPrEx>
        <w:trPr>
          <w:trHeight w:val="930" w:hRule="atLeast"/>
          <w:jc w:val="center"/>
        </w:trPr>
        <w:tc>
          <w:tcPr>
            <w:tcW w:w="15503" w:type="dxa"/>
            <w:gridSpan w:val="6"/>
            <w:tcBorders>
              <w:top w:val="nil"/>
              <w:left w:val="nil"/>
              <w:bottom w:val="single" w:color="auto" w:sz="4" w:space="0"/>
              <w:right w:val="nil"/>
            </w:tcBorders>
            <w:shd w:val="clear" w:color="auto" w:fill="auto"/>
            <w:vAlign w:val="center"/>
          </w:tcPr>
          <w:p>
            <w:pPr>
              <w:widowControl/>
              <w:jc w:val="center"/>
              <w:rPr>
                <w:rFonts w:hint="eastAsia" w:ascii="方正小标宋简体" w:eastAsia="方正小标宋简体" w:cs="Calibri" w:hAnsiTheme="minorEastAsia"/>
                <w:bCs/>
                <w:color w:val="000000"/>
                <w:kern w:val="0"/>
                <w:sz w:val="44"/>
                <w:szCs w:val="44"/>
              </w:rPr>
            </w:pPr>
            <w:bookmarkStart w:id="0" w:name="_GoBack"/>
            <w:r>
              <w:rPr>
                <w:rFonts w:hint="eastAsia" w:ascii="方正小标宋简体" w:eastAsia="方正小标宋简体" w:cs="Calibri" w:hAnsiTheme="minorEastAsia"/>
                <w:bCs/>
                <w:color w:val="000000"/>
                <w:kern w:val="0"/>
                <w:sz w:val="44"/>
                <w:szCs w:val="44"/>
              </w:rPr>
              <w:t>2024年度浙江省哲学社会科学规划部门合作专项研究课题申报选题指南</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tcBorders>
              <w:top w:val="single" w:color="auto" w:sz="4" w:space="0"/>
            </w:tcBorders>
            <w:shd w:val="clear" w:color="auto" w:fill="auto"/>
            <w:vAlign w:val="center"/>
          </w:tcPr>
          <w:p>
            <w:pPr>
              <w:widowControl/>
              <w:spacing w:line="280" w:lineRule="exact"/>
              <w:jc w:val="center"/>
              <w:rPr>
                <w:rFonts w:hint="eastAsia" w:ascii="黑体" w:hAnsi="黑体" w:eastAsia="黑体" w:cs="Calibri"/>
                <w:bCs/>
                <w:color w:val="000000"/>
                <w:kern w:val="0"/>
                <w:sz w:val="21"/>
                <w:szCs w:val="21"/>
              </w:rPr>
            </w:pPr>
            <w:r>
              <w:rPr>
                <w:rFonts w:hint="eastAsia" w:ascii="黑体" w:hAnsi="黑体" w:eastAsia="黑体" w:cs="Calibri"/>
                <w:bCs/>
                <w:color w:val="000000"/>
                <w:kern w:val="0"/>
                <w:sz w:val="21"/>
                <w:szCs w:val="21"/>
              </w:rPr>
              <w:t>选题号</w:t>
            </w:r>
          </w:p>
        </w:tc>
        <w:tc>
          <w:tcPr>
            <w:tcW w:w="2496" w:type="dxa"/>
            <w:tcBorders>
              <w:top w:val="single" w:color="auto" w:sz="4" w:space="0"/>
            </w:tcBorders>
            <w:shd w:val="clear" w:color="auto" w:fill="auto"/>
            <w:vAlign w:val="center"/>
          </w:tcPr>
          <w:p>
            <w:pPr>
              <w:widowControl/>
              <w:spacing w:line="280" w:lineRule="exact"/>
              <w:jc w:val="center"/>
              <w:rPr>
                <w:rFonts w:hint="eastAsia" w:ascii="黑体" w:hAnsi="黑体" w:eastAsia="黑体" w:cs="Calibri"/>
                <w:bCs/>
                <w:color w:val="000000"/>
                <w:kern w:val="0"/>
                <w:sz w:val="21"/>
                <w:szCs w:val="21"/>
              </w:rPr>
            </w:pPr>
            <w:r>
              <w:rPr>
                <w:rFonts w:hint="eastAsia" w:ascii="黑体" w:hAnsi="黑体" w:eastAsia="黑体" w:cs="Calibri"/>
                <w:bCs/>
                <w:color w:val="000000"/>
                <w:kern w:val="0"/>
                <w:sz w:val="21"/>
                <w:szCs w:val="21"/>
              </w:rPr>
              <w:t>选题或选题方向</w:t>
            </w:r>
          </w:p>
        </w:tc>
        <w:tc>
          <w:tcPr>
            <w:tcW w:w="6237" w:type="dxa"/>
            <w:tcBorders>
              <w:top w:val="single" w:color="auto" w:sz="4" w:space="0"/>
            </w:tcBorders>
            <w:shd w:val="clear" w:color="auto" w:fill="auto"/>
            <w:vAlign w:val="center"/>
          </w:tcPr>
          <w:p>
            <w:pPr>
              <w:widowControl/>
              <w:spacing w:line="280" w:lineRule="exact"/>
              <w:jc w:val="center"/>
              <w:rPr>
                <w:rFonts w:hint="eastAsia" w:ascii="黑体" w:hAnsi="黑体" w:eastAsia="黑体" w:cs="Calibri"/>
                <w:bCs/>
                <w:color w:val="000000"/>
                <w:kern w:val="0"/>
                <w:sz w:val="21"/>
                <w:szCs w:val="21"/>
              </w:rPr>
            </w:pPr>
            <w:r>
              <w:rPr>
                <w:rFonts w:hint="eastAsia" w:ascii="黑体" w:hAnsi="黑体" w:eastAsia="黑体" w:cs="Calibri"/>
                <w:bCs/>
                <w:color w:val="000000"/>
                <w:kern w:val="0"/>
                <w:sz w:val="21"/>
                <w:szCs w:val="21"/>
              </w:rPr>
              <w:t>研究内容及具体要求</w:t>
            </w:r>
          </w:p>
        </w:tc>
        <w:tc>
          <w:tcPr>
            <w:tcW w:w="1088" w:type="dxa"/>
            <w:tcBorders>
              <w:top w:val="single" w:color="auto" w:sz="4" w:space="0"/>
            </w:tcBorders>
            <w:shd w:val="clear" w:color="auto" w:fill="auto"/>
            <w:vAlign w:val="center"/>
          </w:tcPr>
          <w:p>
            <w:pPr>
              <w:widowControl/>
              <w:spacing w:line="280" w:lineRule="exact"/>
              <w:jc w:val="center"/>
              <w:rPr>
                <w:rFonts w:hint="eastAsia" w:ascii="黑体" w:hAnsi="黑体" w:eastAsia="黑体" w:cs="Calibri"/>
                <w:bCs/>
                <w:color w:val="000000"/>
                <w:kern w:val="0"/>
                <w:sz w:val="21"/>
                <w:szCs w:val="21"/>
              </w:rPr>
            </w:pPr>
            <w:r>
              <w:rPr>
                <w:rFonts w:hint="eastAsia" w:ascii="黑体" w:hAnsi="黑体" w:eastAsia="黑体" w:cs="Calibri"/>
                <w:bCs/>
                <w:color w:val="000000"/>
                <w:kern w:val="0"/>
                <w:sz w:val="21"/>
                <w:szCs w:val="21"/>
              </w:rPr>
              <w:t>资助经费（万元）</w:t>
            </w:r>
          </w:p>
        </w:tc>
        <w:tc>
          <w:tcPr>
            <w:tcW w:w="3061" w:type="dxa"/>
            <w:tcBorders>
              <w:top w:val="single" w:color="auto" w:sz="4" w:space="0"/>
            </w:tcBorders>
            <w:shd w:val="clear" w:color="auto" w:fill="auto"/>
            <w:vAlign w:val="center"/>
          </w:tcPr>
          <w:p>
            <w:pPr>
              <w:widowControl/>
              <w:spacing w:line="280" w:lineRule="exact"/>
              <w:jc w:val="center"/>
              <w:rPr>
                <w:rFonts w:hint="eastAsia" w:ascii="黑体" w:hAnsi="黑体" w:eastAsia="黑体" w:cs="Calibri"/>
                <w:bCs/>
                <w:color w:val="000000"/>
                <w:kern w:val="0"/>
                <w:sz w:val="21"/>
                <w:szCs w:val="21"/>
              </w:rPr>
            </w:pPr>
            <w:r>
              <w:rPr>
                <w:rFonts w:hint="eastAsia" w:ascii="黑体" w:hAnsi="黑体" w:eastAsia="黑体" w:cs="Calibri"/>
                <w:bCs/>
                <w:color w:val="000000"/>
                <w:kern w:val="0"/>
                <w:sz w:val="21"/>
                <w:szCs w:val="21"/>
              </w:rPr>
              <w:t>成果形式</w:t>
            </w:r>
          </w:p>
        </w:tc>
        <w:tc>
          <w:tcPr>
            <w:tcW w:w="1758" w:type="dxa"/>
            <w:tcBorders>
              <w:top w:val="single" w:color="auto" w:sz="4" w:space="0"/>
            </w:tcBorders>
            <w:shd w:val="clear" w:color="auto" w:fill="auto"/>
            <w:vAlign w:val="center"/>
          </w:tcPr>
          <w:p>
            <w:pPr>
              <w:widowControl/>
              <w:spacing w:line="280" w:lineRule="exact"/>
              <w:jc w:val="center"/>
              <w:rPr>
                <w:rFonts w:hint="eastAsia" w:ascii="黑体" w:hAnsi="黑体" w:eastAsia="黑体" w:cs="Calibri"/>
                <w:bCs/>
                <w:color w:val="000000"/>
                <w:kern w:val="0"/>
                <w:sz w:val="21"/>
                <w:szCs w:val="21"/>
              </w:rPr>
            </w:pPr>
            <w:r>
              <w:rPr>
                <w:rFonts w:hint="eastAsia" w:ascii="黑体" w:hAnsi="黑体" w:eastAsia="黑体" w:cs="Calibri"/>
                <w:bCs/>
                <w:color w:val="000000"/>
                <w:kern w:val="0"/>
                <w:sz w:val="21"/>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5503" w:type="dxa"/>
            <w:gridSpan w:val="6"/>
            <w:shd w:val="clear" w:color="auto" w:fill="auto"/>
            <w:vAlign w:val="center"/>
          </w:tcPr>
          <w:p>
            <w:pPr>
              <w:widowControl/>
              <w:spacing w:line="280" w:lineRule="exact"/>
              <w:jc w:val="center"/>
              <w:rPr>
                <w:rFonts w:ascii="黑体" w:hAnsi="黑体" w:eastAsia="黑体"/>
                <w:kern w:val="0"/>
                <w:sz w:val="21"/>
                <w:szCs w:val="21"/>
              </w:rPr>
            </w:pPr>
            <w:r>
              <w:rPr>
                <w:rFonts w:hint="eastAsia" w:ascii="黑体" w:hAnsi="黑体" w:eastAsia="黑体" w:cs="Calibri"/>
                <w:bCs/>
                <w:color w:val="000000"/>
                <w:kern w:val="0"/>
                <w:sz w:val="21"/>
                <w:szCs w:val="21"/>
              </w:rPr>
              <w:t>(一)人大工作研究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习近平同志在浙江工作期间关于人大制度和人大工作重要论述的时代价值和实践意义研究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阐释习近平同志在浙江工作期间关于人大制度和人大工作的重要论述，紧扣中央和省委关于加强新时代人大工作的决策部署，围绕省人大及其常委会开展工作实践所需，提出如何深入贯彻习近平总书记关于坚持和完善人民代表大会制度的重要思想，推动人大工作高质量发展，继续走在前列。</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阶段性成果+研究报告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浙江省人民代表大会70年回顾与展望研究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回顾总结浙江省人民代表大会成立70年来的发展历程，概括70年来人民代表大会制度在浙江实践的重要事件、重大成果与历史意义，提炼人民代表大会发展经验和启示，分析研究加强和改进新时代人大工作的思路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加强和改进人大财政经济监督工作研究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学习贯彻宪法和地方组织法、新修改的监督法精神，深入贯彻省委、省人大常委会党组关于人大监督工作的部署，联系人大财政经济监督工作职能和实际，提出人大及其常委会加强财政经济监督、打造监督工作硬核成果的工作思路、推进举措等。</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深化人大对执法司法工作监督研究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紧扣省域治理现代化的决策部署，探讨加强人大执法司法工作监督，健全完善执法司法监督新机制和新途径，切实推动依法行政、依法监察、公正司法，确保行政权、监察权、司法权正确有效行使的思路与举措。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加强人大自身建设专题研究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紧扣“四个机关”定位要求，分析人大自身建设的现状，研究如何加强人大自身建设，健全人大组织制度和运行机制，进一步提高人大及其常委会履职能力水平，推动人大自身建设全面加强、全面过硬。</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黑体" w:hAnsi="黑体" w:eastAsia="黑体"/>
                <w:kern w:val="0"/>
                <w:sz w:val="21"/>
                <w:szCs w:val="21"/>
              </w:rPr>
            </w:pPr>
            <w:r>
              <w:rPr>
                <w:rFonts w:hint="eastAsia" w:ascii="黑体" w:hAnsi="黑体" w:eastAsia="黑体" w:cs="Calibri"/>
                <w:bCs/>
                <w:color w:val="000000"/>
                <w:kern w:val="0"/>
                <w:sz w:val="21"/>
                <w:szCs w:val="21"/>
              </w:rPr>
              <w:t>（二）地方立法研究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浙江省“千万工程”地方立法研究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系统梳理“千万工程”的内涵和要求，全面总结提炼我省成功经验，并根据新精神新要求，进一步完善相关法规制度设计，从法治上引领和保障我省“千万工程”建设取得新的更大成效。</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立法研究报告和法规草案文本</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浙江省平台经济促进地方立法研究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明确平台经济的内涵、特征，并在地方立法权限范围内，对平台涉及的新技术运用、监管机制、行业规范、内部治理等问题开展研究，作出相应的法规制度设计，促进平台经济健康发展。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地方立法与全过程人民民主研究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贯彻党中央和全国人大践行和发展全过程人民民主的要求，分析其理论内涵和本质要求，并立足浙江实际，提出地方立法践行和发展全过程人民民主的思路、工作要求和具体举措。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课题调研报告和相关资料</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加强涉外领域地方立法研究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落实习近平总书记关于加强涉外法制建设的指示精神，结合省委打造高能级开放强省的要求和浙江实际，研究在地方立法权限范围内，加强涉外领域地方立法的总体要求和工作举措，并提出相应的法规项目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地方立法评估的基础理论与指标体系研究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总结实践经验，明确立法评估的概念、外延和实践意义，并围绕提高立法质量和效率，研究提出地方立法评估的指标体系及其实践应用的建议。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黑体" w:hAnsi="黑体" w:eastAsia="黑体"/>
                <w:kern w:val="0"/>
                <w:sz w:val="21"/>
                <w:szCs w:val="21"/>
              </w:rPr>
            </w:pPr>
            <w:r>
              <w:rPr>
                <w:rFonts w:hint="eastAsia" w:ascii="黑体" w:hAnsi="黑体" w:eastAsia="黑体" w:cs="Calibri"/>
                <w:bCs/>
                <w:color w:val="000000"/>
                <w:kern w:val="0"/>
                <w:sz w:val="21"/>
                <w:szCs w:val="21"/>
              </w:rPr>
              <w:t>（三）政协工作研究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习近平总书记关于加强和改进人民政协工作的重要思想在浙江的探索与实践溯源研究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系统梳理习近平同志在浙江工作期间关于政协工作的有关重要论述、实践探索及实际成效，阐释十八大以来习近平总书记关于加强和改进人民政协工作的重要思想与在浙江工作期间关于政协工作的有关重要论述一脉相承的关系，研究提出新时代新征程人民政协的发展机遇、挑战及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（重点）设立专项经费</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深化专门协商机构建设，发挥人民政协在发展全过程人民民主中的重要作用研究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入学习习近平总书记关于加强和改进人民政协工作的重要思想，系统梳理习近平总书记关于发展全过程人民民主和协商民主的重要论述，深入研究人民政协在发展全过程人民民主中的现实意义、优势特点、重要作用，总结全省政协在发展全过程人民民主中的创新成果，提出新时代人民政协发展全过程人民民主的实践路径和重点工作，为更好发挥专门协商机构作用，争做发展政协协商民主省域实践示范，奋力当好新时代加强和改进人民政协工作排头兵提供理论支撑。</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人民政协与“两个结合”研究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认真学习习近平总书记关于“两个结合”的重要论述，深入阐述人民政协制度是“两个结合”重大成果的丰富内涵，研究提出在“两个结合”中更好发挥人民政协制度优势的路径与方式。</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发挥人民政协作为实行新型政党制度重要政治形式和组织形式的作用研究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结合学习贯彻中共中央《关于新时代坚持好完善好中国新型政党制度的意见》，阐述人民政协作为新型政党制度重要政治形式和组织形式的丰富内涵，研究更好发挥政协在坚持和完善中国新型政党制度中的作用的制度机制和现实路径。</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加快形成新质生产力研究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研究新质生产力的科学内涵，结合新一轮科技革命和产业变革态势，阐述发展新质生产力的重大意义，研究提出发展新质生产力的实践路径和重点任务。</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(四）统战工作研究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巩固与扩大青年爱国统一战线的方法与路径研究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从统战事业可持续发展的内在要求的高度出发，浙江积极探索进一步强化工作合力、扩大工作覆盖、拓展工作思路、提升工作能效的新理念、新方法、新路径。</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加强统一战线思想政治引领工作研究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百年未有之大变局的背景下，聚焦思想政治引领的统战工作主责主业与浙江“两个先行”奋斗目标，如何确立思想政治引领的目标任务，创新思想政治引领的内容、方法等，更好地推动新时代统战工作高质量发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新乡贤工作规范化研究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浙江“两个先行”背景下，从体现统一战线强大法宝作用和夯实统战工作基层基础两个出发点着力，深入探究新乡贤组织、阵地、队伍、品牌等方面的规范化建设的新定义、新路径、新模式，为助力中国式现代化贡献更多统战力量。</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新的社会阶层人士统战工作平台载体创新研究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针对我国社会结构深刻变化，立足浙江新的社会阶层人士资源优势、新的社会阶层人士统战工作先行优势，深入研究新的社会阶层人士平台载体建设经验规律，探索以平台载体建设组织、引领、动员新的社会阶层人士的有效机制，为扩大统战工作有形有效覆盖提供可复制可推广的经验。</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构建中国新型政党制度话语和叙事体系研究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中华民族伟大复兴进程中，从增强制度自信、推动人类政治文明发展的要求和高度，深入研究构建中国新型政党制度话语和叙事体系的重大意义，总结新时代中国新型政党制度话语和叙事体系的创新和发展成就及其经验，分析面临的主要困难和薄弱环节，并提出相应的工作思路和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（五）民族宗教工作研究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新时代浙江省治理非法宗教组织和非法宗教活动的法律适用机制研究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调研浙江省基督教领域目前存在的非法宗教组织形式及活动现状，深入分析非法宗教活动治理过程中存在的法律问题，并提出相关的对策建议。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以铸牢中华民族共同体意识为主线推动民族文化助力乡村振兴新格局的对策与思考</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探索在铸牢中华民族共同体意识背景下，聚焦民族文化体育助力民族乡村振兴的新路径，为省域治理先行和共同富裕先行贡献民宗力量。</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新形势下推进社区民族工作的对策研究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以社区民族工作为突破口，强化社区民族工作浙江模式探索。系统梳理新时代我省城市民族工作特别是社区民族工作的有效举措和创新路径，以习近平总书记关于加强和改进民族工作的重要思想为引领，运用科学的评估体系和方法分析存在的问题与不足提出对策和建议，总结提炼一套浙江社区民族工作的新模式。</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历史遗存在中华民族共同体建设中的价值及实践路径研究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依托浙江悠久、深厚、光荣的历史人文资源，结合四条诗路文化带等挖掘整理红色精神谱系、中华民族文化遗存遗迹和历史记忆等，总结归纳、整理提炼浙江中华民族共同体故事，为进一步打造铸牢中华民族共同体意识宣传教育阵地、宣传讲解资料和宣传稿讲解团队提供理论体系和话语体系。</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“文明互鉴 和合共生”——关于打造对外宗教文化交流高地的实践与思考</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做好中国宗教文化的海外拓展，搭建各种平台，广泛开展民间外交，讲好中国宗教故事，传播中华优秀文化，助力人类命运共同体建设。</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以全链条数字化管理，构建宗教院校督学机制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做好宗教院校数字化管理的顶层设计和基层建设，助力实现把宗教院校打造成宗教人才培养高地的目标。</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民族宗教互联网信息治理研究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深入省内外调研民族宗教网络信息经验做法，掌握涉民族宗教网络信息热点、走势，进一步提出我省科学应对涉民族宗教事务网络舆情，加强涉民族宗教事务舆情监测以及对媒体监管的工作机制对策建议。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（六）党史和文献工作研究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抗战文化与中华民族现代文明构建</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浙江抗日救亡文化运动蓬勃发展，为取得抗日战争胜利作出了贡献。通过系统梳理总结浙江抗战文化运动，阐述如何弘扬抗战文化，为更好建设中华民族现代文明提供借鉴。</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浙江省红色资源活化利用研究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围绕如何保护和活化红色资源，运用红色资源所承载的党的历史教育干部群众和青少年，建设中华民族现代文明，在与相关省市比较研究的基础上，为更好地用好浙江红色资源找出新的方法，提供新的启示。</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党史宣教成效评估研究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全面梳理总结近年来开展的党史学习教育，以定性和定量相结合，侧重定量，提出一套具体的成效评估方法，在此基础上，收集相关数据，对浙江党史宣教成效作一评估，提出进一步改进党史宣教工作的建议。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高校党史教学中存在的问题及对策建议</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综合分析浙江高校党史教学现状，研究如何进一步加强党史学科建设，提升党史教学质量，发挥高校在推进党史学习教育常态化长效化的作用。</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“大党史+大党建”工作格局下党史人才队伍建设</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着眼“大党史+大党建”的工作格局，研究党史人才队伍如何加强专业化提升、体系化培育、科学化评估，为推动党史和文献工作强省提供人才支撑和智力支持。</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（七）互联网发展工作研究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社交媒体语境下的网络传播策略研究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针对知乎、小红书、快手、抖音等社交媒体日益成为信息传播主流媒介的背景下，通过对这些新兴媒介平台信息流、受众流、传播流等全维度的分析，提出进一步提升浙江在网络舆论场传播力、影响力、引导力、好感度的路径和方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2024年11月底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全民数字素养与技能评价体系研究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在浙江共同富裕示范区建设背景下，结合习近平总书记“提升公民数字化适应力、胜任力、创造力，共建共享数字化发展成果”等重要论述，围绕打造人的全面发展高地，探讨适应新形势的全民数字素养与技能评价体系和提升路径，以提升全民数字素养与技能促进全民共享数字化发展成果。</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2024年10月底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生成式人工智能背景下网络信息安全风险与治理对策研究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当前，生成式人工智能发展迅猛，国内互联网厂商和研究机构纷纷发布大模型，生成式人工智能技术开始在一定程度影响社会生活。随着生成式人工智能技术所应用的领域更加广泛，它在带来便利的同时也给网络国家信息安全方面带来了诸多风险和挑战。为此，本项目围绕生成式人工智能技术对网络信息安全领域的风险，比如虚假信息传播风险、意识形态渗透风险、个人信息泄露风险、数据跨境传输风险等问题，研究建立包括以技术反制技术、借助算法加强事实核查、生成式人工智能技术法律规制等网络信息安全风险治理的新方法、新路径和新体系，为政府提供、生成式人工智能背景下网络信息安全治理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2024年11月底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网信人才分类评价标准研究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为贯彻落实党的二十大精神和中央、省委人才工作会议精神，结合《网络安全和信息化人才发展规划（2019—2025年）》各项工作落实情况，深入了解浙江网信人才发展现状和存在问题，研究建立符合网信特点的分领域分层次分对象、科学权威的网信人才分类评价认定标准体系。</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（八）三农问题研究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中国式现代化乡村建设对策研究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深刻把握中国式现代化大背景，紧密结合习近平总书记关于“千万工程”的重要指示精神，研究提出加快中国式乡村现代化浙江先行的理论内涵、目标任务、思路对策、实践路径。</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城乡融合发展体制机制改革对策研究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刻把握习近平总书记关于城乡融合发展的重要讲话精神，系统总结浙江实施县城承载能力提升和深化“千村示范、万村整治”工程的做法成效，从城乡融合视角深入剖析存在的难点堵点，研究提出体制机制改革的对策措施。</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农业农村领域营商环境优化提升对策研究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刻把握优化提升营商环境的内涵要义，梳理总结近年来浙江优化提升农业农村领域营商环境的做法成效、困难不足，坚持问题导向，提出以政务服务增值化改革为牵引推进农业农村领域营商环境优化提升的对策思路、路径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（九）文化和旅游发展研究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新时代浙江文旅品牌策划和创建路径研究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全面梳理打造文旅品牌的新理念、新情况、新办法，总结浙江文旅品牌打造情况，分析存在的问题和不足，提炼浙江十大文旅品牌，研究提出浙江打造文旅品牌的有效举措，进一步打响“诗画江南、活力浙江”品牌。</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研究报告、对策要报</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新时代热门旅游目的地的打造和可持续发展策略研究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评估数字经济时代、融媒体时代线上流量出圈对目的地旅游的真实带动效应，探析新时代热门旅游目的地的生成逻辑以及高质量打造路径和可持续发展对策。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文旅数字资源开发转化的模式与路径研究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面向数字中国与国家文化数字化战略，落实浙江省数字经济创新提质“一号发展工程”，研究文化和旅游资源的数字化开发模式，探索文化和旅游数据要素价值转化的实践路径，推进文化和旅游深度融合与高质量发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推进研学旅游持续健康发展路径研究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学旅游是教育、文化、旅游融合发展的新业态。全面梳理我省研学旅游市场现状，分析目前还存在的突出问题，就如何丰富研学旅游产品供给、提高研学旅游服务质量、健全研学旅游标准体系、完善研学旅游监管机制、规范研学旅游市场秩序等提出对策建议，进一步推动研学旅游持续健康高质量发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研究报告、对策要报</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浙江省大视听产业高质量发展研究及对策</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落实习近平文化思想，深入实施国家文化数字化战略，勇担“在建设中华民族现代文明上积极探索”新使命，紧抓大视听产业变革新机遇，深入研究和分析浙江大视听产业现状及发展趋势，持续推进技术创新、制度创新、机制创新，破除大视听产业发展的堵点难点，探索推进大视听产业高质量发展的路径和方式，努力打造全国领先的大视听产业创新发展高地。一是开展“大视听”及“大视听产业”概念溯源研究，进一步厘清边界内涵；二是开展国内外大视听产业发展现状及趋势分析，准确把握面临的新挑战新机遇新趋势新要求；三是开展浙江大视听产业现状及趋势分析，认清优势，找准短板，提出推动浙江大视听高质量创新性发展的对策建议和政策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（十）妇女儿童发展研究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女性科技工作者成长规律研究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在强力推进创新深化改革攻坚开放提升的背景下，结合习近平总书记“实现高水平科技自立自强”的重要论述，通过对女性科技人才发展状况、存在问题、成长规律研究，提出培养发展女性科技人才对策建议。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农村妇女家门口就业现状和路径探究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在浙江共同富裕示范先行的背景下，结合习近平总书记关于共同富裕和“三农”工作重要论述，研究全省“巾帼共富工坊”就业创业现状、存在的问题和实践路径，更好服务农村妇女家门口就业</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提振女性生育意愿的对策研究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浙江共同富裕示范区建设背景下，立足于男女平等基本国策，探讨女性生育意愿的现状，充分考虑各职业、地区的差异和特色，分析包括社会、经济、文化、政策等影响因素并提出有效对策，为浙江省优化人口结构、促进经济社会发展提供参考和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人口均衡发展背景下女大学生婚育观现状及对策研究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人口均衡发展背景下，调查分析女大学生婚育观、家庭观现状，梳理影响女大学生群体婚育意愿、生育压力、婚育计划、与婚育行为的影响因素，引导树立正确的婚育观、家庭观，提出提升婚育意愿的干预机制。</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浙江省儿童青少年心理健康现状、原因及对策分析</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在当前儿童青少年心理问题的发生率和心理障碍患病率持续攀升的情况下，立足家庭领域，通过抽样调查分析存在问题和相应的家庭因素，探索妇联基于家庭教育视角，促进儿童心理健康的对策和建议。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妇联组织参与基层治理现代化的积极探索——家事纠纷化解“一类事”试点改革调研</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坚持和发展新时代“枫桥经验”，从群众眼中的家事“一类事”出发，总结家事纠纷化解“一类事”综合服务试点工作，提出推动涉及家事的治理端纠纷调解、妇联端家庭建设、社区端网格治理、社会端志愿者服务等多元力量整合集成，提升基层社会治理现代化水平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浙江省妇女和妇联工作志</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突出时代特色，体现存史价值，追寻“红色根脉”，弘扬革命传统，运用一手史料寻根溯源，记载100多年来近现代浙江妇女追求解放的历史，展现1949年后以妇联为主体的妇女组织开展妇女工作。系统全面反映全省妇女发展状况，充分体现浙江妇女和妇联工作所取得的成绩，填补浙江妇女史志的空白。</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专著</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2026年12月底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（十一）科技文化研究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“知识分配力”视域下“新质生产力”科普的实践路径研究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运用经合组织(OECD)国家创新系统研究中提出的“知识分配力”概念，作为审视前沿知识高效扩散、利用的框架标准，探讨科学普及促进新质生产力在社会创新体系中高效嵌入和流动的特点与机制，探索将科学普及延伸至前沿科学的“元科普”模式，创新新质生产力科普的传播方式，提出浙江新质生产力科普的实施路径。</w:t>
            </w:r>
          </w:p>
        </w:tc>
        <w:tc>
          <w:tcPr>
            <w:tcW w:w="1088" w:type="dxa"/>
            <w:tcBorders>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tcBorders>
              <w:top w:val="single" w:color="auto" w:sz="4" w:space="0"/>
              <w:left w:val="single" w:color="auto" w:sz="4" w:space="0"/>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tcBorders>
              <w:lef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情境化健康科普的实践路径研究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借助地方性知识及情境认知理论，阐明医药健康知识不能脱离使用知识的具体情境，进而阐明有效的健康科普应该是一种高度情境依赖的实践活动；探讨将情境条件纳入健康科普内容的实现形式与方法，联系现实场景开展情境化健康科普的实践；并在此基础上提出有效实施情境化健康科普的行动策略建议。</w:t>
            </w:r>
          </w:p>
        </w:tc>
        <w:tc>
          <w:tcPr>
            <w:tcW w:w="1088" w:type="dxa"/>
            <w:tcBorders>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tcBorders>
              <w:left w:val="single" w:color="auto" w:sz="4" w:space="0"/>
              <w:righ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tcBorders>
              <w:lef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“热点科普”与“应急科普”的“公众参与”研究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公众参与”是新时代科普的核心特质。结合我国当前的科普实践，总结“热点科普”与“应急科普”中的“公众参与”的特征，探索公众参与“热点科普”与“应急科普”的动力机制与传播规律，探讨提高“热点科普”与“应急科普”的有效性与提升公众参与此类科普积极性的实现路径。</w:t>
            </w:r>
          </w:p>
        </w:tc>
        <w:tc>
          <w:tcPr>
            <w:tcW w:w="1088" w:type="dxa"/>
            <w:tcBorders>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tcBorders>
              <w:left w:val="single" w:color="auto" w:sz="4" w:space="0"/>
              <w:righ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tcBorders>
              <w:lef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kern w:val="0"/>
                <w:sz w:val="21"/>
                <w:szCs w:val="21"/>
              </w:rPr>
            </w:pPr>
            <w:r>
              <w:fldChar w:fldCharType="begin"/>
            </w:r>
            <w:r>
              <w:instrText xml:space="preserve"> HYPERLINK "https://sec.cuz.edu.cn/webvpn/LjIwMy4yMTMuMTY3LjIxNC4xNzI=/LjIwNi4yMDcuMTY2LjE0OC4xNTYuMTU5LjE2Mi4xNjIuOTYuMTYzLjE1Ny4yMTM=/kcms2/article/abstract?vpn-0&amp;v=lWc4gvQ5J15-oD8BBl3OaJS66wf-DgniuL9w7Av_0cpTqplncfUCP0VdC49L7eKn7gMf4o7FcjR9ndEK974RfG_YN7LMRdPAImgGaZ1TrNSVHDkxDPuyM4UN7IY3pJCkuLfwxhZL7zntOfg72uSvFg==&amp;uniplatform=NZKPT&amp;language=CHS" </w:instrText>
            </w:r>
            <w:r>
              <w:fldChar w:fldCharType="separate"/>
            </w:r>
            <w:r>
              <w:rPr>
                <w:rFonts w:hint="eastAsia" w:cs="Calibri" w:asciiTheme="minorEastAsia" w:hAnsiTheme="minorEastAsia" w:eastAsiaTheme="minorEastAsia"/>
                <w:kern w:val="0"/>
                <w:sz w:val="21"/>
                <w:szCs w:val="21"/>
              </w:rPr>
              <w:t>人工智能时代浙江创新文化模式与治理研究</w:t>
            </w:r>
            <w:r>
              <w:rPr>
                <w:rFonts w:hint="eastAsia" w:cs="Calibri" w:asciiTheme="minorEastAsia" w:hAnsiTheme="minorEastAsia" w:eastAsiaTheme="minorEastAsia"/>
                <w:kern w:val="0"/>
                <w:sz w:val="21"/>
                <w:szCs w:val="21"/>
              </w:rPr>
              <w:fldChar w:fldCharType="end"/>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kern w:val="0"/>
                <w:sz w:val="21"/>
                <w:szCs w:val="21"/>
              </w:rPr>
            </w:pPr>
            <w:r>
              <w:fldChar w:fldCharType="begin"/>
            </w:r>
            <w:r>
              <w:instrText xml:space="preserve"> HYPERLINK "https://sec.cuz.edu.cn/webvpn/LjIwMy4yMTMuMTY3LjIxNC4xNzI=/LjIwNi4yMDcuMTY2LjE0OC4xNTYuMTU5LjE2Mi4xNjIuOTYuMTYzLjE1Ny4yMTM=/kcms2/article/abstract?vpn-0&amp;v=lWc4gvQ5J15-oD8BBl3OaJS66wf-DgniuL9w7Av_0cpTqplncfUCP0VdC49L7eKn7gMf4o7FcjR9ndEK974RfG_YN7LMRdPAImgGaZ1TrNSVHDkxDPuyM4UN7IY3pJCkuLfwxhZL7zntOfg72uSvFg==&amp;uniplatform=NZKPT&amp;language=CHS" </w:instrText>
            </w:r>
            <w:r>
              <w:fldChar w:fldCharType="separate"/>
            </w:r>
            <w:r>
              <w:rPr>
                <w:rFonts w:hint="eastAsia" w:cs="Calibri" w:asciiTheme="minorEastAsia" w:hAnsiTheme="minorEastAsia" w:eastAsiaTheme="minorEastAsia"/>
                <w:kern w:val="0"/>
                <w:sz w:val="21"/>
                <w:szCs w:val="21"/>
              </w:rPr>
              <w:t>今年以来，以大模型、生成式人工智能为代表的技术集群，成为全球社会共同聚焦的现象级话题。人工智能技术的发展将使创新文化的形态特征发生重大变化，也对创新文化建设、全民科学素养提升提出了新的要求。基于此，探讨人工智能时代科技发展将会如何影响浙江创新文化？浙江创新文化能否继续在价值层面引领科技向善和以人为本？浙江创新文化需要怎样发展来适应新的科技生态？提出人工智能时代浙江创新文化模式、工作机制、发展路径与政策建议。</w:t>
            </w:r>
            <w:r>
              <w:rPr>
                <w:rFonts w:hint="eastAsia" w:cs="Calibri" w:asciiTheme="minorEastAsia" w:hAnsiTheme="minorEastAsia" w:eastAsiaTheme="minorEastAsia"/>
                <w:kern w:val="0"/>
                <w:sz w:val="21"/>
                <w:szCs w:val="21"/>
              </w:rPr>
              <w:fldChar w:fldCharType="end"/>
            </w:r>
          </w:p>
        </w:tc>
        <w:tc>
          <w:tcPr>
            <w:tcW w:w="1088" w:type="dxa"/>
            <w:tcBorders>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tcBorders>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tcBorders>
              <w:lef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科普助力“科学教育做加法”的“浙江范式”研究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习近平总书记指出“要在教育“双减”中做好科学教育加法，激发青少年好奇心、想象力、探求欲，培育具备科学家潜质、愿意献身科学研究事业的青少年群体。”结合世界青年科学家峰会等大论坛，融汇长三角地区大科学装置汇聚优势，聚焦“科研—科普—教育”链条的改革优化，探索浙江高校与科研机构科技资源整合和科普再开发的新方式，凝练适合浙江和长三角地区的科普教育标准和科学教育做加法的的“浙江范式”。</w:t>
            </w:r>
          </w:p>
        </w:tc>
        <w:tc>
          <w:tcPr>
            <w:tcW w:w="1088" w:type="dxa"/>
            <w:tcBorders>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tcBorders>
              <w:top w:val="single" w:color="auto" w:sz="4" w:space="0"/>
              <w:left w:val="single" w:color="auto" w:sz="4" w:space="0"/>
              <w:righ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cs="Calibri" w:asciiTheme="minorEastAsia" w:hAnsiTheme="minorEastAsia" w:eastAsiaTheme="minorEastAsia"/>
                <w:color w:val="000000"/>
                <w:kern w:val="0"/>
                <w:sz w:val="21"/>
                <w:szCs w:val="21"/>
              </w:rPr>
              <w:t>研究报告</w:t>
            </w:r>
          </w:p>
        </w:tc>
        <w:tc>
          <w:tcPr>
            <w:tcW w:w="1758" w:type="dxa"/>
            <w:vMerge w:val="restart"/>
            <w:tcBorders>
              <w:lef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“十五五”浙江省科普事业规划研究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全面总结我省十四五科普事业建设的实践，分析新时代我省科普事业发展的现状，研究提出“十五五”浙江省科技文化建设时期我省科普事业发展的规划建议。</w:t>
            </w:r>
          </w:p>
        </w:tc>
        <w:tc>
          <w:tcPr>
            <w:tcW w:w="1088" w:type="dxa"/>
            <w:tcBorders>
              <w:right w:val="single" w:color="auto" w:sz="4" w:space="0"/>
            </w:tcBorders>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tcBorders>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tcBorders>
              <w:left w:val="single" w:color="auto" w:sz="4" w:space="0"/>
            </w:tcBorders>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（十二）生态文明理论与政策研究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高质量发展与高水平保护的作用机理与协同实证研究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习近平总书记在全国生态环境保护大会重要讲话精神，从中国式现代化深刻内涵的角度，研究剖析高质量发展和高水平保护的相互作用机理，辨析两者之间相互促进共同发展的逻辑关系，选取典型地区和典型案例开展实证研究，提出新征程上协同推进高质量发展和高水平保护的路径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研究报告、成果要报</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生态环保促进绿色共富的转化路径研究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两山”实践创新基地建设中的重点领域，研究分析生态文明建设促进共同富裕的内涵与机理，构建可充分反映市域尺度“绿水青山就是金山银山”转化成效和发展水平的指标体系，测算识别我省11个设区市推动绿色共富的现状成效和薄弱环节，研究提出符合我省实际的生态效益增值转化平台载体和生态环保促进绿色共富的路径策略。</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现代化治理视角下浙江省生态环境源头治理的优化策略研究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从现代化治理视角出发，研究剖析源头治理、系统治理、协同治理之间的科学联系和内在逻辑，梳理总结我省在生态环境综合治理、系统治理和协同治理方面的现状和成效，研判当前的形势和要求，识别存在的问题和短板，提出符合我省实际的生态环境治理优化路径和策略。</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研究报告、成果要报</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新时期浙江省绿色低碳转型思路对策研究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根据习近平总书记考察浙江时提出的“建立完善绿色低碳循环发展的经济体系”的任务要求，深入总结当前浙江省绿色低碳循环发展的现状基础，构建预测模型，对未来一段时期我省经济发展对生态环境的压力水平进行动态情景模拟，研判绿色低碳循环发展存在的问题和风险，研究提出完善绿色低碳循环发展经济体系的思路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习近平生态文明思想大众化传播研究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梳理总结我省习近平生态文明思想大众化传播的现状及问题，对大众化传播的组成要素、过程、本质、特点、规律进行研究，借鉴国内外大众传播典型模式和优秀案例，提出进一步深化习近平生态文明思想大众化传播的路径方向和建设重点。</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（十三）残疾人事业研究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共同富裕背景下构建残疾人高质量就业精准帮扶体系研究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通过研究梳理残疾人就业工作内在规律，针对不同类型残疾人就业能力和就业特点，形成残疾人职业能力评估、就业岗位开发与适配、高质量职业技能培训提升、就业质量动态评估、社会力量助残就业等模型，提出共同富裕背景下统筹政府、社会、市场资源，构建残疾人高质量就业精准帮扶体系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研究报告，公开发表论文1篇</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2025年5月底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共同富裕背景下全龄友好高质量无障碍环境建设路径研究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依据《中华人民共和国无障碍环境建设法》，以共富和公平为原则，以全龄友好为目标，以融合为方法，根据残疾人、老年人和儿童等人群的不同身心特点、需求和行为特征，梳理全龄友好无障碍环境建设的关键难点，从管理、建设和运维全过程进行路径优化，为高质量建设无障碍环境提出切实可行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面向残疾人群体的高科技辅助器具进展及实用方向研究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全国残疾预防重点联系地区工作要求，梳理目前全球面向残疾人群体的各类高科技辅助器具的研究、生产进展情况和相关研发机构信息，基于不同残疾类别，坚持问题导向，按照实用原则，了解分析残疾人需求侧特征和研发机构供给侧特点，为推进辅助器具工程行业产学研精准对接提供科学依据和理论支撑。</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研究报告，公开发表论文1篇</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2025年5月底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孤独症康复技术从业人员培训体系建设研究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推进孤独症康复从业人员标准化培训、提升孤独症康复服务水平，制定涵盖医学、教育和现代信息技术等模块内容的孤独症康复人员标准化培训体系，促进我省孤独症康复从业人员队伍规范化建设，构建立足于个体需求、资源共享、互动交流的康复生态系统，探索促进孤独症群体更好融入社会，发挥自我价值的路径。</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残疾人照护员培训体系建设及实践模式研究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浙江省政府办公厅关于落实国家残疾预防行动计划中残疾康复服务状况持续改善，建立健全家庭、社区、机构相衔接的专业化长期照护服务体系的要求，推进残疾人照护服务领域标准化建设，制定康养一体化技术服务包中照护员的人才培养模式，提供进一步的发展方向，为省域内的残疾人照护员规范化培养提供范例。</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（十四）人力资源和社会保障研究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构建完善高质量充分就业体系研究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聚焦夯实民生之本，围绕构建完善高质量充分就业体系开展理论和对策研究。着眼未来一个时期我省劳动力市场变动情况，从形成更多就业机会、更优就业结构、更强就业能力、更好就业生态等维度，提出构</w:t>
            </w:r>
            <w:r>
              <w:rPr>
                <w:rFonts w:cs="Calibri" w:asciiTheme="minorEastAsia" w:hAnsiTheme="minorEastAsia" w:eastAsiaTheme="minorEastAsia"/>
                <w:color w:val="000000"/>
                <w:kern w:val="0"/>
                <w:sz w:val="21"/>
                <w:szCs w:val="21"/>
              </w:rPr>
              <w:t>建完善高质量充分就业体系的目标（指标）和思路举措。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69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构建完善高品质共富社保体系研究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社会保障是治国安邦的大问题，事关千家万户的切身利益，直接体现省域治理现代化和共同富裕的成色。本研究基于当前社保体系建设现状，从体制、机制和制度层面挖掘存在的问题，分析其成因，提出构建完善高品质共富社保体系的目标（指标）和思路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我省“</w:t>
            </w:r>
            <w:r>
              <w:rPr>
                <w:rFonts w:cs="Calibri" w:asciiTheme="minorEastAsia" w:hAnsiTheme="minorEastAsia" w:eastAsiaTheme="minorEastAsia"/>
                <w:color w:val="000000"/>
                <w:kern w:val="0"/>
                <w:sz w:val="21"/>
                <w:szCs w:val="21"/>
              </w:rPr>
              <w:t>415X”先进制造业集群技能人才支撑体系研究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围绕我省“</w:t>
            </w:r>
            <w:r>
              <w:rPr>
                <w:rFonts w:cs="Calibri" w:asciiTheme="minorEastAsia" w:hAnsiTheme="minorEastAsia" w:eastAsiaTheme="minorEastAsia"/>
                <w:color w:val="000000"/>
                <w:kern w:val="0"/>
                <w:sz w:val="21"/>
                <w:szCs w:val="21"/>
              </w:rPr>
              <w:t>415X”先进制造业集群建设，以培养高技能人才为重要切入点开展理论和对策研究。从畅通技能人才培育通道、探索技能创富有效模式、营造技能成才浓厚氛围等维度提出对策建议，为“415X”先进制造业集群建设提供强大技能人才支撑。</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构建完善高素质人才服务体系研究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激发活力之源，围绕构建完善高素质人才服务体系开展理论和对策研究。从加大引才育才力度、完善人才评价机制、加快发展人力资源服务产业等维度提出对策建议，为推动人才强省建设主动塑造和加速释放“人才红利”。</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构建完善高质效人社治理体系研究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筑牢连心之桥，围绕构建完善高质效人社治理体系开展理论和对策研究。从强化劳动关系源头治理、深化“浙江无欠薪”行动、实现人社公共服务均等化等维度提出对策建议，持续推进人社治理现代化改革，以保障大民生来守护大平安、促进大治理。</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新业态从业人员职业伤害保障研究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本课题以外卖骑手、快递小哥、网约车司机等群体为主要研究对象，深入剖析新业态从业人员职业伤害保障试点工作中存在的问题，就如何合理确定保障范围、保障项目和保障水平等提出应对思路，为建立完善新业态从业人员职业伤害保障制度提供决策参考。</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（十五）“红十字”事业研究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“快一点，救在身边”文明实践品牌建设路径研究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浙江有礼”省域文明新实践建设，以杭州市实施中央文明委重点基层联系点项目“红十字救在身边”实践为例，在理论层面梳理出“快一点，救在身边”文明实践品牌的内涵和外延，提出在全省培育推广这一品牌的对策建议和实现路径。</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2024年11月底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红十字生命教育教学资源开发研究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落实《浙江省红十字会条例》要求，围绕建立健全红十字生命教育体系，聚焦红十字生命教育有效触达，研究如何开发针对不同对象群体的红十字生命教育课程、教材和项目等，对探索构建红十字生命教育课程体系、形成优质的、体系化的教育培训资源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（十六）青年工作研究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国内外青年发展政策研究及浙江启示</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立足青年友好和青年有为，分析国内外青年发展政策的主要类型、构建理念、体系特征、创新突破、实际效能，以及具体实施过程中存在的难点痛点堵点，提出我省优化青年发展政策体系和实施路径的思路与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研究报告、工作内参</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基层社区团组织规范化建设标准研究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对照团中央关于共青团城市基层组织改革的部署要求，从社区青年的生活方式和实际需求出发，聚焦基层社区团组织灵活实现政治教育、社会实践、服务大局等多元功能，分析当前工作的难点痛点堵点，研究组织方式、工作方式、动员方式的创新路径，加强基层社区团的组织设置、骨干培育、团员管理、项目打造、阵地建设、考核评定等方面的顶层设计。</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研究报告、工作内参、制度机制</w:t>
            </w: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引育青年返乡就业创业对策研究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乡村振兴急需有志青年返乡就业创业，带动乡村产业发展，关注青年大学生就业形势严峻，引导树立正确就业观、择业观，积极投身乡村振兴事业，研究乡村振兴工作在青年人才支撑、青年返乡就业创业服务供给、青年发展环境优化等方面的现状和存在问题，提出引育和培养青年返乡创业创业的对策和路径，为各级党政部门面向乡村青年、农创青年、返乡青年出台更多普惠政策时提供决策支持，实现为我省率先实现农业农村现代化源源不断地输送青年人才。</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研究报告、工作内参</w:t>
            </w: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79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“Z世代”青年群体思想特点与价值取向研究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围绕“Z世代”青年群体，通过调查研究和实证分析，研究阐述新时代浙江青年的群体特征、思想特点、价值取向及其影响因素，提出教育引导对策与建议。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研究报告、工作内参、论文</w:t>
            </w:r>
          </w:p>
        </w:tc>
        <w:tc>
          <w:tcPr>
            <w:tcW w:w="1758"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党领导下的浙江百年少年儿童运动史研究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少先队建队75周年和党领导的中国少年儿童运动100周年主题，聚焦党领导下的浙江百年少年儿童运动史开展深入研究，把握坚持党的领导、厘清关键问题、服务工作实践、加强史料保护等原则，从历史、现实和理论结合的角度总结经验、揭示规律，推动新时代党的少年儿童事业和少先队工作新的更大发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研究报告、出版《党领导下的浙江百年少年儿童运动史》</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2024年6月底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浙江青年发展政策体系的分析和评估</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青年发展型省份建设和《浙江省中长期青年发展规划（2017-2025年）》的落地实施，聚焦浙江青年发展政策的制定和实施，分析浙江青年发展政策的主要类型、构建理念、体系特征、创新突破、实际效能，研究青年发展政策体系构建的不足，以及具体实施过程中存在的难点痛点堵点，提出优化青年发展政策体系和实施路径的思路与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研究报告、工作内参</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新时代青年婚育观念及婚育友好文化塑造研究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着力探讨新时代青年婚育观念和行为的特征以及社会思潮、平台、自媒体、社会圈层等各因素对青年婚恋观和生育观的影响，摸清青年婚育过程中的诉求和困境，提出塑造婚育友好文化的路径和方法。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研究报告、工作内参、论文</w:t>
            </w: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（十七）涉台研究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浙江推动两岸融合发展政策研究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贯彻落实新时代党解決台湾问题的总体方略，调研浙江推动两岸融合发展的优势与特色，提出政策建议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2.5</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在浙台企科技创新现状、分析及对策建议</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深入贯彻习近平总书记考察浙江重要讲话精神，调研在浙台企生产经营、科技创新、产业转型等发展情况，就协助台企加快融入新发展格局、推动科技创新、实现高质量发展提出对策建议。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2.5</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台湾青年来浙发展研究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贯彻落实习近平总书记致第六届海峡两岸青年发展论坛贺信精神，调研近年来台湾青年来浙求学、创业、就业等情况，提出对策建议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2.5</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进一步加强台胞权益保护研究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调研新时期台胞在浙江求学、就业、生活的诉求变化及权益保护情况，就完善台胞福祉制度、完善涉台纠纷长效机制、做好法治储备等提出对策建议。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2.5</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国际法视角下的一个中国原则研究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研究近期国际社会对台湾问题的表态及相关举动，就从国际法角度确认一个中国原则提出对策建议。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2.5</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（十八）公共安全领域风险防控研究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经济领域风险防控研究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国际政治经济格局变化对我省经济和社会领域产生的影响；2、当前金融领域风险可能对我省社会稳定带来的负面影响；3、国内房地产领域风险隐患及对社会稳定的影响；4、我省新经济、新业态发展过程中可能衍生社会问题和安全风险；5、浙江省经济犯罪宏观战略研判。</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研究报告（4千字左右），请直接报送邮箱：dilinlin@126.com，并标注“公共安全领域风险防控研究”字样。</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社会治理领域风险防控研究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重大决策和重大项目在实施中可能对社会大局稳定带来的影响，特别在就业、教育、社会保障、养老、医疗、能源及供应链等领域可能存在的风险隐患；2、城市化进程中，涉及公共安全、环境等社会治理新问题、纠纷引发社会治安风险。</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治安领域风险防控研究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涉互联网新型违法犯罪的特点和趋势研究；2、涉医药卫生、食品安全、环境污染等领域的新型违法犯罪特点和趋势研究；3、“暗网”违法犯罪、数据安全防护，组织机构与公民个人隐私信息泄露可能带来的安全风险；4、“民转刑”、个人极端行为的防范和治理。</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研究报告（4千字左右），请直接报送邮箱：dilinlin@126.com，并标注“公共安全领域风险防控研究”字样。</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海外利益安全领域风险防控研究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我省机构、企业、组织与个人赴海外活动（工作、旅行、投资等）可能遇到的安全风险研究；2、中美战略博弈进入“深水区”，美西方与我周边国家通联，多领域对我施加综合性风险分析；3、我省公民在非洲、中亚与东南亚等国家遭凶杀、绑架、非法拘禁等人身、财产安全风险；4、跨境赌博、网络诈骗等犯罪自东南亚向中东、非洲、南美等地外溢转移，我开展打击治理面临的风险分析；5、地域冲突影响我在外安全，增加国内管理压力的综合分析；6、“一带一路”沿线国家局势动荡抬高企业投资用工成本，对我省企业投资、安全运营带来的风险分析；7、美持续对我“精准打击”“去中国化”，与我在高端芯片、稀土资源、全球供应链和产业链布局等领域拉锯升温，我省相关行业企业受波及、被卷入及可能衍生风险分析。</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（十九）浙江民营经济发展研究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浙江民营企业运行的特点、问题及政策需求研究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浙江省工商联民营企业调查点数据分析基础上，研究浙江民营企业运行的趋势性、规律性特点，深入了解民营企业对《浙江省促进民营经济高质量发展若干措施实施》的感受和意见建议，研究提出民营经济健康发展高质量发展面临的困难问题和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多种所有制经济共同发展的良好制度环境研究—以浙江为例</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进入新发展阶段以公有制为主体的多种所有制经济共同发展的理论基础、实践特征和演变趋势，研究提出从制度和法律上把国企民企平等对待的要求落下来、促进民营经济发展壮大的思路举措，研究更好促进混合所有制发展的举措，提出知识、技术、管理、数据等生产要素产权制度安排和实现形式等。</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2024年9月底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强化企业科技创新主体地位，推动形成新质生产力研究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研究强化企业科技创新主体地位，以科技创新推动产业创新的方法路径，探究影响企业科技创新主体地位和束缚新质生产力发展的堵点卡点，提出各类先进生产要素向新质生产力顺畅流动和高效配置的对策建议。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浙江新生代企业家人才队伍建设研究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全面分析新生代企业家成长状况，深入探究新生代企业家高素质成长面临的困境，研究破解浙商事业新老交接和有序传承问题，提出进一步加强新生代企业家人才队伍建设的意见建议。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民营经济驱动浙江先进制造业产业集群高质量发展研究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研究民营经济产业集群的基本情况，以及民营经济在驱动浙江先进制造业产业集群发展过程中所发挥的关键作用，分析存在问题，提出民营经济产业集群高质量发展的对策建议。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（二十）立法、监督、调研等人大职能出发开展三农工作研究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“千万工程”实践与探索</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系统总结“千万工程”经验，梳理“千万工程”工作体系、建设体系、政策法规体系及成果体系，总结人居环境整治、农房建设、基础设施、公共服务、历史文化保护、产业发展、基层治理等方面的经验做法和特色模式，全面展现浙江“千万工程”建设成效，为全国其他地区乡村建设发展提供借鉴参考，为加快推进农业农村现代化、推进共同富裕提供实践探索，为起草浙江“千万工程”地方性法规提供支撑。</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深化浙江农村“三位一体”改革的对策研究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梳理我省实施农村“三位一体”改革的主要做法及成效，分析推进农村“三位一体”改革的主要困难及问题，从进一步发挥人大职能作用等角度提出深化我省农村“三位一体”改革的对策建议。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4</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（二十一）法学研究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99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浙江政法工作现代化研究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紧密结合浙江政法工作在新时代取得的显著成就，系统梳理和提炼浙江政法工作的时代特点、现代价值和运行逻辑，提出政法工作现代化的基本内涵、精髓要义、构成要素、总体目标、评价体系、实践路径及实现机制等，构建适应中国式现代化发展的政法工作现代化体系。</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2024年11上旬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平安建设理论溯源与浙江实践研究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围绕习近平总书记关于平安建设的重要论述和重要批示精神，聚焦平安浙江建设二十年的实践与成就，提炼和梳理实践经验和成果，提出平安浙江建设的学术化表达和理论体系。</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矛盾纠纷预防化解法治化研究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入研究领导干部下访接访对矛盾纠纷预防化解工作的指导意义、时代价值和理论逻辑，总结浙江矛盾纠纷预防化解法治化工作的成功经验，分析指出难点堵点，提出具有普遍意义的矛盾纠纷预防化解法治化的对策。</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中华传统法律文化与我国现代法治文明研究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以习近平文化思想指引，提炼中华传统法律文化特别是优秀传统法律文化的核心内容、基本特征、历史贡献和时代价值，分析传统法律观念、制度、文化与现代法治文明之间的联系和冲突及其缘由，形成具有中国特色、世界意义的现代法治文明和自主知识体系。</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浙江涉外法治人才队伍建设研究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入剖析我省法治人才队伍现状、存在的问题及其原因，比较研究北京、上海、广东、江苏等省市法治人才队伍情况，探寻推进我省涉外法治人才队伍建设的有效路径，构建涉外法治人才队伍建设的运行机制、基本制度和培养体系。</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（二十二）机关运行保障研究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机关运行保障现代化的浙江探索及路径优化研究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在国家治理体系和治理能力现代化的框架下，明确机关运行保障现代化的深刻内涵，总结提炼机关运行保障现代化的浙江探索及经验启示，针对实践存在的不足，提出进一步改革的优化路径。</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浙江省公务用车集约化管理研究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化提升浙江公车集中统一管理、“一张网”建设等特色成果，从异地保障、异地救援、公务拼车、运维集采、共享共治等维度积极探索和谋划公务用车集约化管理发展路径，促进公务用车资源跨层级、跨部门、跨领域共享共用，降低公务出行成本，不断提高保障效率和水平。</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现代机关事务文化建设和品牌打造</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研究现代机关事务文化的内涵、特征和作用，通过打造文化品牌推动机关运行保障现代化先行的具体路径和创新举措。</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浙江省“公务餐”改革的价值与路径研究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分析研究我省“公务餐”改革试点的实践经验做法，围绕贯彻落实中央八项规定精神、勤俭办一切事业和党政机关过紧日子等要求，深入研究“公务餐”改革的价值意义，研究提出“公务餐”改革的通用模式和实施路径，为在全省范围内推广实施“公务餐”提供决策参考。</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机关运行保障数字治理标准化研究——基于杭州的实践与探索</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基于机关运行保障数字治理标准化有关概念辨析（机关运行保障、数字治理、数字治理标准化等),深入研究机关运行保障数字治理标准化的重要意义，从标准化数字化和治理现代化的关系、数字治理标准化之于高质量发展的功能、数字治理标准化在推进以资产管理为核心的集中统一管理中所起的作用等方面进行论析（以资产管理为核心的集中统一管理是现代机关事务的基本特征）。基于机关运行保障数字治理标准化的杭州实践，以机关事务运行保障国家综合标准化试点为基础，从数字治理标准化维度总结有关先行做法、主要成效等，侧重机关运行保障数字治理标准化的实践分析；从对标准化数字化作为治理现代化重要路径的认知有待提升、机关运行保障数字治理标准化效能的系统性释放有待强化等方面进行问题剖析；再从塑造内蕴数字化标准化的治理文化、构建现代性机关运行保障数字治理标准化体系、强化机关运行保障数字治理的多元性主体参与、建立现代性机关运行保障数字治理标准化效能评估机制等方面进行对策阐析。</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8</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（二十三）社会舆情调研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109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关于重大决策部署的舆情分析</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围绕学习宣传贯彻党的二十大精神以及中央重大决策部署，高度关注我省持续推动</w:t>
            </w:r>
            <w:r>
              <w:rPr>
                <w:rFonts w:cs="Calibri" w:asciiTheme="minorEastAsia" w:hAnsiTheme="minorEastAsia" w:eastAsiaTheme="minorEastAsia"/>
                <w:color w:val="000000"/>
                <w:kern w:val="0"/>
                <w:sz w:val="21"/>
                <w:szCs w:val="21"/>
              </w:rPr>
              <w:t>“八八战略”走深走实，在推进共同富裕和中国式现代化建设中发挥示范引领作用，勇当中国式现代化的先行者，奋力谱写中国式现代化浙江新篇章等系列决策部署，收集省内外舆论的反映，提出相关意见建议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w:t>
            </w:r>
            <w:r>
              <w:rPr>
                <w:rFonts w:cs="Calibri" w:asciiTheme="minorEastAsia" w:hAnsiTheme="minorEastAsia" w:eastAsiaTheme="minorEastAsia"/>
                <w:color w:val="000000"/>
                <w:kern w:val="0"/>
                <w:sz w:val="21"/>
                <w:szCs w:val="21"/>
              </w:rPr>
              <w:t>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关于思想理论热点的舆情分析</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当前国际国内形势，针对意识形态领域出现的苗头性、倾向性问题开展舆情分析研究。关注高等院校、社科研究机构、讲坛论坛以及新媒体新动向新动态，反映当前社会思想意识领域出现的新变化，提出相关意见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关于经济热点话题的舆情分析</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关注我省经济发展系列决策部署，以及经济走势、双循环、双碳、外贸出口、股市楼市、民营经济、社会消费、金融风险等热点领域热点问题的舆情动向，重点分析不同地区、不同人群及市场主体对宏观经济形势、政策措施的态度、看法和建议，提出相关意见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w:t>
            </w:r>
            <w:r>
              <w:rPr>
                <w:rFonts w:cs="Calibri" w:asciiTheme="minorEastAsia" w:hAnsiTheme="minorEastAsia" w:eastAsiaTheme="minorEastAsia"/>
                <w:color w:val="000000"/>
                <w:kern w:val="0"/>
                <w:sz w:val="21"/>
                <w:szCs w:val="21"/>
              </w:rPr>
              <w:t>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关于社会热点话题的舆情分析</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针对收入分配、社会保障、就业就学、教育</w:t>
            </w:r>
            <w:r>
              <w:rPr>
                <w:rFonts w:cs="Calibri" w:asciiTheme="minorEastAsia" w:hAnsiTheme="minorEastAsia" w:eastAsiaTheme="minorEastAsia"/>
                <w:color w:val="000000"/>
                <w:kern w:val="0"/>
                <w:sz w:val="21"/>
                <w:szCs w:val="21"/>
              </w:rPr>
              <w:t>“双减”、婚恋生育、物价水平等民生领域中群众的关切点关注点，及时反映中央和我省有关政策措施的积极成效，全面收集社会各界的观点和看法，系统梳理基层群众反映反馈的突出问题，提出相关意见建议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关于宣传思想工作守正创新的舆情分析</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学习宣传贯彻全国宣传思想文化工作会议精神，关注宣传思想文化工作领域的新形势新趋势新任务新挑战，特别是结合网络传播格局和舆论生态新变化，针对新技术加速迭代、新平台迅猛发展对宣传思想文化工作带来的影响，开展发展动向和传播特征研究，提出相关意见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（二十四）改革专项课题研究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新征程上“勇当先行者、谱写新篇章”的重点领域改革问题研究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聚焦破除高质量发展的堵点难点，以习近平总书记点题的七个重点领域改革为主攻方向，研究谋划一批牵一发动全身的重点改革，引领撬动各领域体制机制改革创新，打造高质效改革先行省。</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2024年5月底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数据治理和构建数据基础制度研究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构建数据作为新型生产要素的基础制度体系，是解决当前数据治理面临挑战、充分释放数据要素价值的关键。围绕数据产权、流通交易、收益分配、公共数据授权运营、安全治理等，梳理总结我省探索实践，结合与省外、国外政策做法比较分析，从体系、能力、机制等方面对完善我省数据基础制度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政务服务增值化改革中企业综合服务中心内涵研究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在浙江省推进政务服务增值化改革提质增效扩面阶段，研究企业综合服务中心建设的目标、定位、内在机制和实现路径，探索打造适应新质生产力发展的企业服务新载体。</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2024年5月底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“三医”联动改革的路径研究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党的二十大报告中提出的“深化医药卫生体制改革，促进医保、医疗、医药协同发展和治理”要求，系统梳理国内外关于医药卫生体制改革的政策做法，提炼国外典型经验，实地调研了解梳理政府、医院、医生、群众等诉求，深入分析深层次体制机制原因，研究提出维护公益性、调动积极性、保障可持续的“三医”运行机制。</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健全完善涉企问题高效闭环解决机制的对策研究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围绕涉企问题解决中存在的问题收集碎片化、解决质量不高等问题，深入总结梳理政府、企业、基层、第三方等涉企问题办理的经验做法，分别从省级与地方两个层面研究提出健全完善涉企问题主动发现归集、分类分层分级交办落实、举一反三、质效评价等有关建议和对策举措，探索形成全省域、全过程、全方位的涉企问题高效闭环解决机制。</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（二十五）文化艺术课题研究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119</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新时代浙江文艺实践探索和未来展望专题研究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以2014年文艺工作座谈会召开以来10年间（2014-2023年，下同）浙江文艺发展的重点举措和取得成果为重点分析对象，深入剖析全省文艺界贯彻习近平总书记关于文艺文联工作相关论述的主要做法，提炼成功经验，为我省进一步繁荣文艺发展，从“高原”向“高峰”攀登提供指导和参考，为加快建设高水平文化强省、新时代文化高地贡献力量。</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2024年7月底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120</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新时代浙江美术实践成果和发展策略专题研究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深入剖析文艺工作座谈会召开以来10年间浙江美术实践的重要举措和艺术成果，总结提炼成功经验与创新模式，探讨浙江美术在未来发展中的机遇，为浙江美术事业的高质量发展提供策略建议。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121</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新时代浙江书法高质量发展的维度与方法专题研究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聚焦文艺工作座谈会召开以来10年间浙江书法发展的重要成果、主要举措和创新历程，提炼促进浙江书法高质量发展的有效途径与方法，为浙江书法艺术的繁荣发展提供理论支撑与实践指导。</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2024年7月底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122</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新时代浙江摄影艺术的实践探索与发展路径专题研究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通过分析文艺工作座谈会召开以来10年间浙江摄影艺术发展的路径、现状，提炼浙江摄影艺术发展的成功经验，探讨浙江摄影艺术未来的发展方向与策略，为浙江摄影艺术的繁荣发展提供借鉴与启示。</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123</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新时代浙江电视艺术史专题研究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梳理和深入研究文艺工作座谈会召开以来10年间浙江电视艺术的发展历程与成果，揭示浙江电视艺术的发展特点与影响，探讨浙江电视艺术未来的发展方向与前景，为浙江电视艺术事业的持续发展提供历史借鉴与理论支持。</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3" w:type="dxa"/>
            <w:gridSpan w:val="6"/>
            <w:shd w:val="clear" w:color="auto" w:fill="auto"/>
            <w:vAlign w:val="center"/>
          </w:tcPr>
          <w:p>
            <w:pPr>
              <w:widowControl/>
              <w:spacing w:line="280" w:lineRule="exact"/>
              <w:jc w:val="center"/>
              <w:rPr>
                <w:rFonts w:asciiTheme="minorEastAsia" w:hAnsiTheme="minorEastAsia" w:eastAsiaTheme="minorEastAsia"/>
                <w:kern w:val="0"/>
                <w:sz w:val="21"/>
                <w:szCs w:val="21"/>
              </w:rPr>
            </w:pPr>
            <w:r>
              <w:rPr>
                <w:rFonts w:hint="eastAsia" w:ascii="黑体" w:hAnsi="黑体" w:eastAsia="黑体" w:cs="Calibri"/>
                <w:bCs/>
                <w:color w:val="000000"/>
                <w:kern w:val="0"/>
                <w:sz w:val="21"/>
                <w:szCs w:val="21"/>
              </w:rPr>
              <w:t>（二十六）海洋经济发展研究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863" w:type="dxa"/>
            <w:shd w:val="clear" w:color="auto" w:fill="auto"/>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124</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浙江海洋港口港航贸一体化发展对策研究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贯彻落实习近平总书记有关推进港航贸一体化发展的重要指示精神，研究如何更好发挥我省世界大港、外贸大省等优势，推进以宁波舟山港为主体的浙江海洋港口港航贸一体化发展。</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5</w:t>
            </w:r>
          </w:p>
        </w:tc>
        <w:tc>
          <w:tcPr>
            <w:tcW w:w="3061"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2</w:t>
            </w:r>
            <w:r>
              <w:rPr>
                <w:rFonts w:cs="Calibri" w:asciiTheme="minorEastAsia" w:hAnsiTheme="minorEastAsia" w:eastAsiaTheme="minorEastAsia"/>
                <w:color w:val="000000"/>
                <w:kern w:val="0"/>
                <w:sz w:val="21"/>
                <w:szCs w:val="21"/>
              </w:rPr>
              <w:t>024年12月底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63"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125</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国际海洋经济发展经验借鉴及对浙江的启示研究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为深入践行“八八战略”，加快推进浙江海洋强省建设，通过全面梳理国际海洋经济发展的先进经验做法，提出进一步推进我省海洋经济高质量发展的对策建议。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5503" w:type="dxa"/>
            <w:gridSpan w:val="6"/>
            <w:shd w:val="clear" w:color="auto" w:fill="auto"/>
            <w:vAlign w:val="center"/>
          </w:tcPr>
          <w:p>
            <w:pPr>
              <w:widowControl/>
              <w:spacing w:line="280" w:lineRule="exact"/>
              <w:jc w:val="center"/>
              <w:rPr>
                <w:rFonts w:hint="default" w:eastAsia="黑体" w:cs="Calibri" w:asciiTheme="minorEastAsia" w:hAnsiTheme="minorEastAsia"/>
                <w:color w:val="000000"/>
                <w:kern w:val="0"/>
                <w:sz w:val="21"/>
                <w:szCs w:val="21"/>
                <w:lang w:val="en-US" w:eastAsia="zh-CN"/>
              </w:rPr>
            </w:pPr>
            <w:r>
              <w:rPr>
                <w:rFonts w:hint="eastAsia" w:ascii="黑体" w:hAnsi="黑体" w:eastAsia="黑体" w:cs="Calibri"/>
                <w:bCs/>
                <w:color w:val="000000"/>
                <w:kern w:val="0"/>
                <w:sz w:val="21"/>
                <w:szCs w:val="21"/>
              </w:rPr>
              <w:t>（二十</w:t>
            </w:r>
            <w:r>
              <w:rPr>
                <w:rFonts w:hint="eastAsia" w:ascii="黑体" w:hAnsi="黑体" w:eastAsia="黑体" w:cs="Calibri"/>
                <w:bCs/>
                <w:color w:val="000000"/>
                <w:kern w:val="0"/>
                <w:sz w:val="21"/>
                <w:szCs w:val="21"/>
                <w:lang w:val="en-US" w:eastAsia="zh-CN"/>
              </w:rPr>
              <w:t>七</w:t>
            </w:r>
            <w:r>
              <w:rPr>
                <w:rFonts w:hint="eastAsia" w:ascii="黑体" w:hAnsi="黑体" w:eastAsia="黑体" w:cs="Calibri"/>
                <w:bCs/>
                <w:color w:val="000000"/>
                <w:kern w:val="0"/>
                <w:sz w:val="21"/>
                <w:szCs w:val="21"/>
              </w:rPr>
              <w:t>）</w:t>
            </w:r>
            <w:r>
              <w:rPr>
                <w:rFonts w:hint="eastAsia" w:ascii="黑体" w:hAnsi="黑体" w:eastAsia="黑体" w:cs="Calibri"/>
                <w:bCs/>
                <w:color w:val="000000"/>
                <w:kern w:val="0"/>
                <w:sz w:val="21"/>
                <w:szCs w:val="21"/>
                <w:lang w:val="en-US" w:eastAsia="zh-CN"/>
              </w:rPr>
              <w:t>国际贸易研究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63" w:type="dxa"/>
            <w:shd w:val="clear" w:color="auto" w:fill="auto"/>
            <w:vAlign w:val="center"/>
          </w:tcPr>
          <w:p>
            <w:pPr>
              <w:widowControl/>
              <w:spacing w:line="280" w:lineRule="exact"/>
              <w:jc w:val="center"/>
              <w:rPr>
                <w:rFonts w:hint="default" w:cs="Calibri" w:asciiTheme="minorEastAsia" w:hAnsiTheme="minorEastAsia" w:eastAsiaTheme="minorEastAsia"/>
                <w:color w:val="000000"/>
                <w:kern w:val="0"/>
                <w:sz w:val="21"/>
                <w:szCs w:val="21"/>
                <w:lang w:val="en-US" w:eastAsia="zh-CN"/>
              </w:rPr>
            </w:pPr>
            <w:r>
              <w:rPr>
                <w:rFonts w:hint="eastAsia" w:cs="Calibri" w:asciiTheme="minorEastAsia" w:hAnsiTheme="minorEastAsia" w:eastAsiaTheme="minorEastAsia"/>
                <w:color w:val="000000"/>
                <w:kern w:val="0"/>
                <w:sz w:val="21"/>
                <w:szCs w:val="21"/>
                <w:lang w:val="en-US" w:eastAsia="zh-CN"/>
              </w:rPr>
              <w:t>126</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default" w:cs="Calibri" w:asciiTheme="minorEastAsia" w:hAnsiTheme="minorEastAsia" w:eastAsiaTheme="minorEastAsia"/>
                <w:color w:val="000000"/>
                <w:kern w:val="0"/>
                <w:sz w:val="21"/>
                <w:szCs w:val="21"/>
                <w:lang w:val="en-US" w:eastAsia="zh-CN"/>
              </w:rPr>
              <w:t>欧美国家经济脱钩断链去风险成因分析与对策建议</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lang w:val="en-US" w:eastAsia="zh-CN"/>
              </w:rPr>
            </w:pPr>
            <w:r>
              <w:rPr>
                <w:rFonts w:hint="default" w:cs="Calibri" w:asciiTheme="minorEastAsia" w:hAnsiTheme="minorEastAsia" w:eastAsiaTheme="minorEastAsia"/>
                <w:color w:val="000000"/>
                <w:kern w:val="0"/>
                <w:sz w:val="21"/>
                <w:szCs w:val="21"/>
                <w:lang w:val="en-US" w:eastAsia="zh-CN"/>
              </w:rPr>
              <w:t>梳理欧美国家为实现经济脱钩断链推出的对华贸易投资保护“工具箱”，对欧盟、美国及欧洲主要国家的举措进行归纳对比。基于此，从地缘政治、经济、规则等多个角度对欧美国家的动机进行成因分析，对波及的重点领域及其影响进行分析，并以区域供应链构建窗口期为主要背景，基于防范风险主线提出有针对性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lang w:val="en-US" w:eastAsia="zh-CN"/>
              </w:rPr>
            </w:pPr>
            <w:r>
              <w:rPr>
                <w:rFonts w:hint="eastAsia" w:cs="Calibri" w:asciiTheme="minorEastAsia" w:hAnsiTheme="minorEastAsia" w:eastAsiaTheme="minorEastAsia"/>
                <w:color w:val="000000"/>
                <w:kern w:val="0"/>
                <w:sz w:val="21"/>
                <w:szCs w:val="21"/>
                <w:lang w:val="en-US" w:eastAsia="zh-CN"/>
              </w:rPr>
              <w:t>3</w:t>
            </w:r>
          </w:p>
        </w:tc>
        <w:tc>
          <w:tcPr>
            <w:tcW w:w="3061" w:type="dxa"/>
            <w:vMerge w:val="restart"/>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eastAsia" w:cs="Calibri" w:asciiTheme="minorEastAsia" w:hAnsiTheme="minorEastAsia" w:eastAsiaTheme="minorEastAsia"/>
                <w:color w:val="000000"/>
                <w:kern w:val="0"/>
                <w:sz w:val="21"/>
                <w:szCs w:val="21"/>
              </w:rPr>
              <w:t>研究报告</w:t>
            </w:r>
          </w:p>
        </w:tc>
        <w:tc>
          <w:tcPr>
            <w:tcW w:w="1758" w:type="dxa"/>
            <w:vMerge w:val="restart"/>
            <w:vAlign w:val="center"/>
          </w:tcPr>
          <w:p>
            <w:pPr>
              <w:widowControl/>
              <w:spacing w:line="280" w:lineRule="exact"/>
              <w:jc w:val="center"/>
              <w:rPr>
                <w:rFonts w:cs="Calibri" w:asciiTheme="minorEastAsia" w:hAnsiTheme="minorEastAsia" w:eastAsiaTheme="minorEastAsia"/>
                <w:color w:val="000000"/>
                <w:kern w:val="0"/>
                <w:sz w:val="21"/>
                <w:szCs w:val="21"/>
              </w:rPr>
            </w:pPr>
            <w:r>
              <w:rPr>
                <w:rFonts w:hint="default" w:ascii="Times New Roman" w:hAnsi="Times New Roman" w:eastAsia="仿宋_GB2312" w:cs="Times New Roman"/>
                <w:sz w:val="24"/>
                <w:szCs w:val="24"/>
              </w:rPr>
              <w:t>2024年1</w:t>
            </w:r>
            <w:r>
              <w:rPr>
                <w:rFonts w:hint="default"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月</w:t>
            </w:r>
            <w:r>
              <w:rPr>
                <w:rFonts w:hint="default" w:ascii="Times New Roman" w:hAnsi="Times New Roman" w:eastAsia="仿宋_GB2312" w:cs="Times New Roman"/>
                <w:sz w:val="24"/>
                <w:szCs w:val="24"/>
                <w:lang w:eastAsia="zh-CN"/>
              </w:rPr>
              <w:t>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63" w:type="dxa"/>
            <w:shd w:val="clear" w:color="auto" w:fill="auto"/>
            <w:vAlign w:val="center"/>
          </w:tcPr>
          <w:p>
            <w:pPr>
              <w:widowControl/>
              <w:spacing w:line="280" w:lineRule="exact"/>
              <w:jc w:val="center"/>
              <w:rPr>
                <w:rFonts w:hint="default" w:cs="Calibri" w:asciiTheme="minorEastAsia" w:hAnsiTheme="minorEastAsia" w:eastAsiaTheme="minorEastAsia"/>
                <w:color w:val="000000"/>
                <w:kern w:val="0"/>
                <w:sz w:val="21"/>
                <w:szCs w:val="21"/>
                <w:lang w:val="en-US" w:eastAsia="zh-CN"/>
              </w:rPr>
            </w:pPr>
            <w:r>
              <w:rPr>
                <w:rFonts w:hint="eastAsia" w:cs="Calibri" w:asciiTheme="minorEastAsia" w:hAnsiTheme="minorEastAsia" w:eastAsiaTheme="minorEastAsia"/>
                <w:color w:val="000000"/>
                <w:kern w:val="0"/>
                <w:sz w:val="21"/>
                <w:szCs w:val="21"/>
                <w:lang w:val="en-US" w:eastAsia="zh-CN"/>
              </w:rPr>
              <w:t>127</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default" w:cs="Calibri" w:asciiTheme="minorEastAsia" w:hAnsiTheme="minorEastAsia" w:eastAsiaTheme="minorEastAsia"/>
                <w:color w:val="000000"/>
                <w:kern w:val="0"/>
                <w:sz w:val="21"/>
                <w:szCs w:val="21"/>
                <w:lang w:val="en-US" w:eastAsia="zh-CN"/>
              </w:rPr>
              <w:t>美加墨自由贸易协定政策背景下中国与墨西哥贸易结构、重点与潜力研究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lang w:val="en-US" w:eastAsia="zh-CN"/>
              </w:rPr>
            </w:pPr>
            <w:r>
              <w:rPr>
                <w:rFonts w:hint="default" w:cs="Calibri" w:asciiTheme="minorEastAsia" w:hAnsiTheme="minorEastAsia" w:eastAsiaTheme="minorEastAsia"/>
                <w:color w:val="000000"/>
                <w:kern w:val="0"/>
                <w:sz w:val="21"/>
                <w:szCs w:val="21"/>
                <w:lang w:val="en-US" w:eastAsia="zh-CN"/>
              </w:rPr>
              <w:t>基于中国与墨西哥货物进出口贸易年度数据，分析中国与墨西哥货物贸易流向结构、商品结构、主体结构等结构特征，并基于数据解析，通过贸易数据研判中国与墨西哥进出口贸易的重点商品、贸易带动投资的重点合作领域；并将中墨贸易合作置于美加墨自由贸易协定的政策背景下研判中国与墨西哥的贸易潜力、产业链合作前景，并提出有针对性的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lang w:val="en-US" w:eastAsia="zh-CN"/>
              </w:rPr>
            </w:pPr>
            <w:r>
              <w:rPr>
                <w:rFonts w:hint="eastAsia" w:cs="Calibri" w:asciiTheme="minorEastAsia" w:hAnsiTheme="minorEastAsia" w:eastAsiaTheme="minorEastAsia"/>
                <w:color w:val="000000"/>
                <w:kern w:val="0"/>
                <w:sz w:val="21"/>
                <w:szCs w:val="21"/>
                <w:lang w:val="en-US" w:eastAsia="zh-CN"/>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63" w:type="dxa"/>
            <w:shd w:val="clear" w:color="auto" w:fill="auto"/>
            <w:vAlign w:val="center"/>
          </w:tcPr>
          <w:p>
            <w:pPr>
              <w:widowControl/>
              <w:spacing w:line="280" w:lineRule="exact"/>
              <w:jc w:val="center"/>
              <w:rPr>
                <w:rFonts w:hint="default" w:cs="Calibri" w:asciiTheme="minorEastAsia" w:hAnsiTheme="minorEastAsia" w:eastAsiaTheme="minorEastAsia"/>
                <w:color w:val="000000"/>
                <w:kern w:val="0"/>
                <w:sz w:val="21"/>
                <w:szCs w:val="21"/>
                <w:lang w:val="en-US" w:eastAsia="zh-CN"/>
              </w:rPr>
            </w:pPr>
            <w:r>
              <w:rPr>
                <w:rFonts w:hint="eastAsia" w:cs="Calibri" w:asciiTheme="minorEastAsia" w:hAnsiTheme="minorEastAsia" w:eastAsiaTheme="minorEastAsia"/>
                <w:color w:val="000000"/>
                <w:kern w:val="0"/>
                <w:sz w:val="21"/>
                <w:szCs w:val="21"/>
                <w:lang w:val="en-US" w:eastAsia="zh-CN"/>
              </w:rPr>
              <w:t>128</w:t>
            </w:r>
          </w:p>
        </w:tc>
        <w:tc>
          <w:tcPr>
            <w:tcW w:w="2496"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rPr>
            </w:pPr>
            <w:r>
              <w:rPr>
                <w:rFonts w:hint="default" w:cs="Calibri" w:asciiTheme="minorEastAsia" w:hAnsiTheme="minorEastAsia" w:eastAsiaTheme="minorEastAsia"/>
                <w:color w:val="000000"/>
                <w:kern w:val="0"/>
                <w:sz w:val="21"/>
                <w:szCs w:val="21"/>
                <w:lang w:eastAsia="zh-CN"/>
              </w:rPr>
              <w:t>地缘政治</w:t>
            </w:r>
            <w:r>
              <w:rPr>
                <w:rFonts w:hint="default" w:cs="Calibri" w:asciiTheme="minorEastAsia" w:hAnsiTheme="minorEastAsia" w:eastAsiaTheme="minorEastAsia"/>
                <w:color w:val="000000"/>
                <w:kern w:val="0"/>
                <w:sz w:val="21"/>
                <w:szCs w:val="21"/>
              </w:rPr>
              <w:t>背景下浙江外贸企业深化与俄罗斯</w:t>
            </w:r>
            <w:r>
              <w:rPr>
                <w:rFonts w:hint="default" w:cs="Calibri" w:asciiTheme="minorEastAsia" w:hAnsiTheme="minorEastAsia" w:eastAsiaTheme="minorEastAsia"/>
                <w:color w:val="000000"/>
                <w:kern w:val="0"/>
                <w:sz w:val="21"/>
                <w:szCs w:val="21"/>
                <w:lang w:eastAsia="zh-CN"/>
              </w:rPr>
              <w:t>及中亚五国</w:t>
            </w:r>
            <w:r>
              <w:rPr>
                <w:rFonts w:hint="default" w:cs="Calibri" w:asciiTheme="minorEastAsia" w:hAnsiTheme="minorEastAsia" w:eastAsiaTheme="minorEastAsia"/>
                <w:color w:val="000000"/>
                <w:kern w:val="0"/>
                <w:sz w:val="21"/>
                <w:szCs w:val="21"/>
              </w:rPr>
              <w:t>经贸合作发展的对策研究</w:t>
            </w:r>
          </w:p>
        </w:tc>
        <w:tc>
          <w:tcPr>
            <w:tcW w:w="6237"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lang w:val="en-US" w:eastAsia="zh-CN"/>
              </w:rPr>
            </w:pPr>
            <w:r>
              <w:rPr>
                <w:rFonts w:hint="default" w:cs="Calibri" w:asciiTheme="minorEastAsia" w:hAnsiTheme="minorEastAsia" w:eastAsiaTheme="minorEastAsia"/>
                <w:color w:val="000000"/>
                <w:kern w:val="0"/>
                <w:sz w:val="21"/>
                <w:szCs w:val="21"/>
                <w:lang w:val="en-US" w:eastAsia="zh-CN"/>
              </w:rPr>
              <w:t>在欧美制裁俄罗斯等地缘政治背景下，研究浙江外贸企业与俄罗斯、中亚五国经贸合作机遇，阐述与俄罗斯、中亚五国经贸合作现状，分析经贸合作风险，并针对浙江外贸企业深化与俄罗斯、中亚五国经贸合作提出对策建议。</w:t>
            </w:r>
          </w:p>
        </w:tc>
        <w:tc>
          <w:tcPr>
            <w:tcW w:w="1088" w:type="dxa"/>
            <w:shd w:val="clear" w:color="auto" w:fill="auto"/>
            <w:vAlign w:val="center"/>
          </w:tcPr>
          <w:p>
            <w:pPr>
              <w:widowControl/>
              <w:spacing w:line="280" w:lineRule="exact"/>
              <w:jc w:val="center"/>
              <w:rPr>
                <w:rFonts w:hint="eastAsia" w:cs="Calibri" w:asciiTheme="minorEastAsia" w:hAnsiTheme="minorEastAsia" w:eastAsiaTheme="minorEastAsia"/>
                <w:color w:val="000000"/>
                <w:kern w:val="0"/>
                <w:sz w:val="21"/>
                <w:szCs w:val="21"/>
                <w:lang w:val="en-US" w:eastAsia="zh-CN"/>
              </w:rPr>
            </w:pPr>
            <w:r>
              <w:rPr>
                <w:rFonts w:hint="eastAsia" w:cs="Calibri" w:asciiTheme="minorEastAsia" w:hAnsiTheme="minorEastAsia" w:eastAsiaTheme="minorEastAsia"/>
                <w:color w:val="000000"/>
                <w:kern w:val="0"/>
                <w:sz w:val="21"/>
                <w:szCs w:val="21"/>
                <w:lang w:val="en-US" w:eastAsia="zh-CN"/>
              </w:rPr>
              <w:t>3</w:t>
            </w:r>
          </w:p>
        </w:tc>
        <w:tc>
          <w:tcPr>
            <w:tcW w:w="3061"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c>
          <w:tcPr>
            <w:tcW w:w="1758" w:type="dxa"/>
            <w:vMerge w:val="continue"/>
            <w:vAlign w:val="center"/>
          </w:tcPr>
          <w:p>
            <w:pPr>
              <w:widowControl/>
              <w:spacing w:line="280" w:lineRule="exact"/>
              <w:jc w:val="center"/>
              <w:rPr>
                <w:rFonts w:cs="Calibri" w:asciiTheme="minorEastAsia" w:hAnsiTheme="minorEastAsia" w:eastAsiaTheme="minorEastAsia"/>
                <w:color w:val="000000"/>
                <w:kern w:val="0"/>
                <w:sz w:val="21"/>
                <w:szCs w:val="21"/>
              </w:rPr>
            </w:pPr>
          </w:p>
        </w:tc>
      </w:tr>
    </w:tbl>
    <w:p>
      <w:pPr>
        <w:widowControl/>
        <w:snapToGrid w:val="0"/>
        <w:spacing w:line="280" w:lineRule="exact"/>
        <w:rPr>
          <w:rFonts w:ascii="仿宋_GB2312" w:hAnsi="宋体" w:eastAsia="仿宋_GB2312" w:cs="仿宋_GB2312"/>
          <w:color w:val="000000"/>
          <w:kern w:val="0"/>
          <w:szCs w:val="32"/>
        </w:rPr>
        <w:sectPr>
          <w:footerReference r:id="rId3" w:type="default"/>
          <w:footerReference r:id="rId4" w:type="even"/>
          <w:pgSz w:w="16838" w:h="11906" w:orient="landscape"/>
          <w:pgMar w:top="1588" w:right="2098" w:bottom="1474" w:left="1588" w:header="851" w:footer="1191" w:gutter="0"/>
          <w:cols w:space="720" w:num="1"/>
          <w:docGrid w:type="lines" w:linePitch="626" w:charSpace="-849"/>
        </w:sectPr>
      </w:pPr>
    </w:p>
    <w:p>
      <w:pPr>
        <w:widowControl/>
        <w:snapToGrid w:val="0"/>
        <w:spacing w:line="280" w:lineRule="exact"/>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sectPr>
          <w:footerReference r:id="rId5" w:type="default"/>
          <w:footerReference r:id="rId6" w:type="even"/>
          <w:pgSz w:w="16838" w:h="11906" w:orient="landscape"/>
          <w:pgMar w:top="1588" w:right="2098" w:bottom="1474" w:left="1588" w:header="851" w:footer="1191" w:gutter="0"/>
          <w:cols w:space="720" w:num="1"/>
          <w:docGrid w:type="lines" w:linePitch="626" w:charSpace="-849"/>
        </w:sect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ascii="仿宋_GB2312" w:hAnsi="宋体" w:eastAsia="仿宋_GB2312" w:cs="仿宋_GB2312"/>
          <w:color w:val="000000"/>
          <w:kern w:val="0"/>
          <w:szCs w:val="32"/>
        </w:rPr>
      </w:pPr>
    </w:p>
    <w:p>
      <w:pPr>
        <w:widowControl/>
        <w:snapToGrid w:val="0"/>
        <w:rPr>
          <w:rFonts w:hint="eastAsia" w:ascii="仿宋_GB2312" w:hAnsi="宋体" w:eastAsia="仿宋_GB2312" w:cs="仿宋_GB2312"/>
          <w:color w:val="000000"/>
          <w:kern w:val="0"/>
          <w:szCs w:val="32"/>
        </w:rPr>
      </w:pPr>
    </w:p>
    <w:p>
      <w:pPr>
        <w:widowControl/>
        <w:snapToGrid w:val="0"/>
        <w:rPr>
          <w:rFonts w:hint="eastAsia" w:ascii="仿宋_GB2312" w:hAnsi="宋体" w:eastAsia="仿宋_GB2312" w:cs="仿宋_GB2312"/>
          <w:color w:val="000000"/>
          <w:kern w:val="0"/>
          <w:szCs w:val="32"/>
        </w:rPr>
      </w:pPr>
    </w:p>
    <w:p>
      <w:pPr>
        <w:widowControl/>
        <w:pBdr>
          <w:top w:val="single" w:color="auto" w:sz="4" w:space="1"/>
          <w:bottom w:val="single" w:color="auto" w:sz="4" w:space="1"/>
        </w:pBdr>
        <w:snapToGrid w:val="0"/>
        <w:ind w:firstLine="271" w:firstLineChars="98"/>
        <w:jc w:val="left"/>
        <w:rPr>
          <w:rFonts w:ascii="宋体" w:hAnsi="宋体" w:cs="宋体"/>
          <w:color w:val="000000"/>
          <w:kern w:val="0"/>
          <w:sz w:val="28"/>
          <w:szCs w:val="28"/>
        </w:rPr>
      </w:pPr>
      <w:r>
        <w:rPr>
          <w:rFonts w:hint="eastAsia" w:ascii="仿宋_GB2312" w:hAnsi="宋体" w:eastAsia="仿宋_GB2312" w:cs="仿宋_GB2312"/>
          <w:color w:val="000000"/>
          <w:kern w:val="0"/>
          <w:sz w:val="28"/>
          <w:szCs w:val="28"/>
        </w:rPr>
        <w:t xml:space="preserve">浙江省哲学社会科学工作办公室           </w:t>
      </w: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 xml:space="preserve"> </w:t>
      </w:r>
      <w:r>
        <w:rPr>
          <w:rFonts w:hint="eastAsia" w:ascii="仿宋_GB2312" w:hAnsi="仿宋" w:eastAsia="仿宋_GB2312" w:cs="宋体"/>
          <w:color w:val="000000"/>
          <w:kern w:val="0"/>
          <w:sz w:val="28"/>
          <w:szCs w:val="28"/>
        </w:rPr>
        <w:t>202</w:t>
      </w:r>
      <w:r>
        <w:rPr>
          <w:rFonts w:ascii="仿宋_GB2312" w:hAnsi="仿宋" w:eastAsia="仿宋_GB2312" w:cs="宋体"/>
          <w:color w:val="000000"/>
          <w:kern w:val="0"/>
          <w:sz w:val="28"/>
          <w:szCs w:val="28"/>
        </w:rPr>
        <w:t>4</w:t>
      </w:r>
      <w:r>
        <w:rPr>
          <w:rFonts w:hint="eastAsia" w:ascii="仿宋_GB2312" w:hAnsi="仿宋" w:eastAsia="仿宋_GB2312" w:cs="宋体"/>
          <w:color w:val="000000"/>
          <w:kern w:val="0"/>
          <w:sz w:val="28"/>
          <w:szCs w:val="28"/>
        </w:rPr>
        <w:t>年</w:t>
      </w:r>
      <w:r>
        <w:rPr>
          <w:rFonts w:ascii="仿宋_GB2312" w:hAnsi="仿宋" w:eastAsia="仿宋_GB2312" w:cs="宋体"/>
          <w:color w:val="000000"/>
          <w:kern w:val="0"/>
          <w:sz w:val="28"/>
          <w:szCs w:val="28"/>
        </w:rPr>
        <w:t>3</w:t>
      </w:r>
      <w:r>
        <w:rPr>
          <w:rFonts w:hint="eastAsia" w:ascii="仿宋_GB2312" w:hAnsi="仿宋" w:eastAsia="仿宋_GB2312" w:cs="宋体"/>
          <w:color w:val="000000"/>
          <w:kern w:val="0"/>
          <w:sz w:val="28"/>
          <w:szCs w:val="28"/>
        </w:rPr>
        <w:t>月1</w:t>
      </w:r>
      <w:r>
        <w:rPr>
          <w:rFonts w:ascii="仿宋_GB2312" w:hAnsi="仿宋" w:eastAsia="仿宋_GB2312" w:cs="宋体"/>
          <w:color w:val="000000"/>
          <w:kern w:val="0"/>
          <w:sz w:val="28"/>
          <w:szCs w:val="28"/>
        </w:rPr>
        <w:t>1</w:t>
      </w:r>
      <w:r>
        <w:rPr>
          <w:rFonts w:hint="eastAsia" w:ascii="仿宋_GB2312" w:hAnsi="仿宋" w:eastAsia="仿宋_GB2312" w:cs="宋体"/>
          <w:color w:val="000000"/>
          <w:kern w:val="0"/>
          <w:sz w:val="28"/>
          <w:szCs w:val="28"/>
        </w:rPr>
        <w:t>日印发</w:t>
      </w:r>
    </w:p>
    <w:sectPr>
      <w:footerReference r:id="rId7" w:type="default"/>
      <w:footerReference r:id="rId8" w:type="even"/>
      <w:pgSz w:w="11906" w:h="16838"/>
      <w:pgMar w:top="2098" w:right="1474" w:bottom="1588" w:left="1588" w:header="851" w:footer="1191" w:gutter="0"/>
      <w:cols w:space="720" w:num="1"/>
      <w:docGrid w:type="linesAndChars" w:linePitch="62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47" w:rightChars="171" w:firstLine="280" w:firstLineChars="1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21</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140" w:firstLineChars="5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47" w:rightChars="171" w:firstLine="280" w:firstLineChars="100"/>
      <w:jc w:val="right"/>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47" w:rightChars="171" w:firstLine="280" w:firstLineChars="100"/>
      <w:rPr>
        <w:rFonts w:hint="eastAsia"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47" w:rightChars="171" w:firstLine="280" w:firstLineChars="100"/>
      <w:rPr>
        <w:rFonts w:hint="eastAsia"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47" w:rightChars="171" w:firstLine="280" w:firstLineChars="100"/>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32</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81C8B"/>
    <w:multiLevelType w:val="multilevel"/>
    <w:tmpl w:val="65681C8B"/>
    <w:lvl w:ilvl="0" w:tentative="0">
      <w:start w:val="1"/>
      <w:numFmt w:val="decimal"/>
      <w:lvlText w:val="%1"/>
      <w:lvlJc w:val="left"/>
      <w:pPr>
        <w:ind w:left="432" w:hanging="432"/>
      </w:pPr>
      <w:rPr>
        <w:rFonts w:hint="eastAsia"/>
      </w:rPr>
    </w:lvl>
    <w:lvl w:ilvl="1" w:tentative="0">
      <w:start w:val="1"/>
      <w:numFmt w:val="decimal"/>
      <w:suff w:val="space"/>
      <w:lvlText w:val="%1.%2  "/>
      <w:lvlJc w:val="left"/>
      <w:pPr>
        <w:ind w:left="0" w:firstLine="0"/>
      </w:pPr>
      <w:rPr>
        <w:rFonts w:hint="eastAsia" w:ascii="Times New Roman" w:hAnsi="Times New Roman" w:cs="Times New Roman"/>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2" w:tentative="0">
      <w:start w:val="1"/>
      <w:numFmt w:val="decimal"/>
      <w:pStyle w:val="4"/>
      <w:suff w:val="space"/>
      <w:lvlText w:val="%1.%2.%3  "/>
      <w:lvlJc w:val="left"/>
      <w:pPr>
        <w:ind w:left="0" w:firstLine="0"/>
      </w:pPr>
      <w:rPr>
        <w:rFonts w:hint="eastAsia" w:ascii="Times New Roman" w:hAnsi="Times New Roman"/>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3" w:tentative="0">
      <w:start w:val="1"/>
      <w:numFmt w:val="decimal"/>
      <w:suff w:val="space"/>
      <w:lvlText w:val="%1.%2.%3.%4"/>
      <w:lvlJc w:val="left"/>
      <w:pPr>
        <w:ind w:left="709" w:firstLine="0"/>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31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wMjE4OWIyNDY4NTE4NzM2NWE2NDI5OWFiMDRhMmEifQ=="/>
  </w:docVars>
  <w:rsids>
    <w:rsidRoot w:val="00E2298D"/>
    <w:rsid w:val="00015B1D"/>
    <w:rsid w:val="0003319C"/>
    <w:rsid w:val="00035B9F"/>
    <w:rsid w:val="00042B94"/>
    <w:rsid w:val="00046FB2"/>
    <w:rsid w:val="0005551C"/>
    <w:rsid w:val="000654CB"/>
    <w:rsid w:val="00071DE7"/>
    <w:rsid w:val="00097C4A"/>
    <w:rsid w:val="000A1D8A"/>
    <w:rsid w:val="000A417F"/>
    <w:rsid w:val="000B02DF"/>
    <w:rsid w:val="000C237D"/>
    <w:rsid w:val="000C7D8F"/>
    <w:rsid w:val="000E3852"/>
    <w:rsid w:val="000E79B0"/>
    <w:rsid w:val="000F1119"/>
    <w:rsid w:val="00111D95"/>
    <w:rsid w:val="00133884"/>
    <w:rsid w:val="00137E86"/>
    <w:rsid w:val="00140E5C"/>
    <w:rsid w:val="00150BB2"/>
    <w:rsid w:val="00162EB1"/>
    <w:rsid w:val="00166D9E"/>
    <w:rsid w:val="001702DF"/>
    <w:rsid w:val="0017307F"/>
    <w:rsid w:val="001A2061"/>
    <w:rsid w:val="001B635A"/>
    <w:rsid w:val="001B6901"/>
    <w:rsid w:val="001B72AE"/>
    <w:rsid w:val="001B7A79"/>
    <w:rsid w:val="001C1DDF"/>
    <w:rsid w:val="001C24F8"/>
    <w:rsid w:val="001C33AF"/>
    <w:rsid w:val="001D13D9"/>
    <w:rsid w:val="001D4DD7"/>
    <w:rsid w:val="001D5D29"/>
    <w:rsid w:val="001E0AC0"/>
    <w:rsid w:val="001E5650"/>
    <w:rsid w:val="001E5967"/>
    <w:rsid w:val="00236BFB"/>
    <w:rsid w:val="00251ECA"/>
    <w:rsid w:val="00261FA2"/>
    <w:rsid w:val="002716D0"/>
    <w:rsid w:val="00290D11"/>
    <w:rsid w:val="002978BC"/>
    <w:rsid w:val="002A5ACF"/>
    <w:rsid w:val="002B5E0F"/>
    <w:rsid w:val="002D1AF1"/>
    <w:rsid w:val="002D2994"/>
    <w:rsid w:val="002D6B9E"/>
    <w:rsid w:val="002E19BF"/>
    <w:rsid w:val="002F00E0"/>
    <w:rsid w:val="002F1640"/>
    <w:rsid w:val="002F2297"/>
    <w:rsid w:val="002F3562"/>
    <w:rsid w:val="002F587D"/>
    <w:rsid w:val="00300F2E"/>
    <w:rsid w:val="00340538"/>
    <w:rsid w:val="0034502E"/>
    <w:rsid w:val="003468BC"/>
    <w:rsid w:val="00372561"/>
    <w:rsid w:val="00381733"/>
    <w:rsid w:val="00382317"/>
    <w:rsid w:val="003862EC"/>
    <w:rsid w:val="003908C0"/>
    <w:rsid w:val="00394C03"/>
    <w:rsid w:val="003A631B"/>
    <w:rsid w:val="003C541E"/>
    <w:rsid w:val="003C7590"/>
    <w:rsid w:val="003D1E2D"/>
    <w:rsid w:val="003D749F"/>
    <w:rsid w:val="003E4BB6"/>
    <w:rsid w:val="003F176A"/>
    <w:rsid w:val="003F77D7"/>
    <w:rsid w:val="003F7B4A"/>
    <w:rsid w:val="00412A9A"/>
    <w:rsid w:val="004437DB"/>
    <w:rsid w:val="00476F62"/>
    <w:rsid w:val="0048642B"/>
    <w:rsid w:val="00487DA7"/>
    <w:rsid w:val="004C0313"/>
    <w:rsid w:val="004E0C90"/>
    <w:rsid w:val="005173AD"/>
    <w:rsid w:val="00532665"/>
    <w:rsid w:val="0055791E"/>
    <w:rsid w:val="00570A98"/>
    <w:rsid w:val="00572281"/>
    <w:rsid w:val="00577B49"/>
    <w:rsid w:val="00594A16"/>
    <w:rsid w:val="005A2ADA"/>
    <w:rsid w:val="005B2817"/>
    <w:rsid w:val="005B6B67"/>
    <w:rsid w:val="005E6231"/>
    <w:rsid w:val="005E74C7"/>
    <w:rsid w:val="00602945"/>
    <w:rsid w:val="0061320F"/>
    <w:rsid w:val="00615661"/>
    <w:rsid w:val="006263FD"/>
    <w:rsid w:val="006320F2"/>
    <w:rsid w:val="00634660"/>
    <w:rsid w:val="00643105"/>
    <w:rsid w:val="00647196"/>
    <w:rsid w:val="006606A6"/>
    <w:rsid w:val="00666F28"/>
    <w:rsid w:val="00672BD6"/>
    <w:rsid w:val="00682458"/>
    <w:rsid w:val="00683841"/>
    <w:rsid w:val="006917E1"/>
    <w:rsid w:val="006A0DCE"/>
    <w:rsid w:val="006A4D93"/>
    <w:rsid w:val="006B0EDF"/>
    <w:rsid w:val="006C4A94"/>
    <w:rsid w:val="006C5A9C"/>
    <w:rsid w:val="006D51BE"/>
    <w:rsid w:val="006D7ED9"/>
    <w:rsid w:val="006E3FED"/>
    <w:rsid w:val="006E7503"/>
    <w:rsid w:val="006E7EC7"/>
    <w:rsid w:val="006F0114"/>
    <w:rsid w:val="00702E12"/>
    <w:rsid w:val="007135A5"/>
    <w:rsid w:val="00715C2A"/>
    <w:rsid w:val="00717208"/>
    <w:rsid w:val="00721C69"/>
    <w:rsid w:val="00725669"/>
    <w:rsid w:val="00753AAD"/>
    <w:rsid w:val="00757809"/>
    <w:rsid w:val="0077033A"/>
    <w:rsid w:val="00784494"/>
    <w:rsid w:val="00784D91"/>
    <w:rsid w:val="007A3036"/>
    <w:rsid w:val="007A3608"/>
    <w:rsid w:val="007B59A2"/>
    <w:rsid w:val="007C2DFF"/>
    <w:rsid w:val="007C5B8A"/>
    <w:rsid w:val="007E1486"/>
    <w:rsid w:val="007E71E7"/>
    <w:rsid w:val="007F2C9D"/>
    <w:rsid w:val="007F3388"/>
    <w:rsid w:val="007F39EF"/>
    <w:rsid w:val="007F3BFB"/>
    <w:rsid w:val="008006D2"/>
    <w:rsid w:val="00817DC2"/>
    <w:rsid w:val="008300BA"/>
    <w:rsid w:val="008378C0"/>
    <w:rsid w:val="00856BAE"/>
    <w:rsid w:val="008751C6"/>
    <w:rsid w:val="008956FB"/>
    <w:rsid w:val="008974EB"/>
    <w:rsid w:val="008A713F"/>
    <w:rsid w:val="008B2A4A"/>
    <w:rsid w:val="008B5431"/>
    <w:rsid w:val="008C3446"/>
    <w:rsid w:val="008F1892"/>
    <w:rsid w:val="00932667"/>
    <w:rsid w:val="00937E41"/>
    <w:rsid w:val="00940E5D"/>
    <w:rsid w:val="00984FC0"/>
    <w:rsid w:val="009858AF"/>
    <w:rsid w:val="009A093F"/>
    <w:rsid w:val="009A18CC"/>
    <w:rsid w:val="009A1EB6"/>
    <w:rsid w:val="009B7EEE"/>
    <w:rsid w:val="009C4CC6"/>
    <w:rsid w:val="009D1473"/>
    <w:rsid w:val="009D74F3"/>
    <w:rsid w:val="009E0B9D"/>
    <w:rsid w:val="00A155C6"/>
    <w:rsid w:val="00A63706"/>
    <w:rsid w:val="00A8393A"/>
    <w:rsid w:val="00AB3AD9"/>
    <w:rsid w:val="00AC74B6"/>
    <w:rsid w:val="00AD687A"/>
    <w:rsid w:val="00AD7301"/>
    <w:rsid w:val="00AE3B76"/>
    <w:rsid w:val="00AF7BEE"/>
    <w:rsid w:val="00B02012"/>
    <w:rsid w:val="00B12D47"/>
    <w:rsid w:val="00B23FC0"/>
    <w:rsid w:val="00B302BD"/>
    <w:rsid w:val="00B4692B"/>
    <w:rsid w:val="00B50433"/>
    <w:rsid w:val="00B62FCC"/>
    <w:rsid w:val="00B6407F"/>
    <w:rsid w:val="00B650CF"/>
    <w:rsid w:val="00B850E1"/>
    <w:rsid w:val="00B87CCC"/>
    <w:rsid w:val="00B96168"/>
    <w:rsid w:val="00B961A1"/>
    <w:rsid w:val="00B97AB0"/>
    <w:rsid w:val="00BA598E"/>
    <w:rsid w:val="00BA6D6C"/>
    <w:rsid w:val="00BB3A50"/>
    <w:rsid w:val="00BC7FC2"/>
    <w:rsid w:val="00BE7795"/>
    <w:rsid w:val="00C12351"/>
    <w:rsid w:val="00C20F0D"/>
    <w:rsid w:val="00C262B2"/>
    <w:rsid w:val="00C41FF1"/>
    <w:rsid w:val="00C47A9F"/>
    <w:rsid w:val="00C57F9F"/>
    <w:rsid w:val="00C64AE8"/>
    <w:rsid w:val="00C72497"/>
    <w:rsid w:val="00C74455"/>
    <w:rsid w:val="00C758D3"/>
    <w:rsid w:val="00C81C3B"/>
    <w:rsid w:val="00CC7E46"/>
    <w:rsid w:val="00CE2D40"/>
    <w:rsid w:val="00CF0EC8"/>
    <w:rsid w:val="00CF74AA"/>
    <w:rsid w:val="00D01BD7"/>
    <w:rsid w:val="00D05F2D"/>
    <w:rsid w:val="00D06ED4"/>
    <w:rsid w:val="00D203BE"/>
    <w:rsid w:val="00D21946"/>
    <w:rsid w:val="00D2389D"/>
    <w:rsid w:val="00D40611"/>
    <w:rsid w:val="00D50ED8"/>
    <w:rsid w:val="00D536A7"/>
    <w:rsid w:val="00D63EA0"/>
    <w:rsid w:val="00D72C63"/>
    <w:rsid w:val="00D744B6"/>
    <w:rsid w:val="00D81854"/>
    <w:rsid w:val="00D81B51"/>
    <w:rsid w:val="00D8594E"/>
    <w:rsid w:val="00D85E88"/>
    <w:rsid w:val="00D86CCC"/>
    <w:rsid w:val="00D870AA"/>
    <w:rsid w:val="00D94958"/>
    <w:rsid w:val="00D95E56"/>
    <w:rsid w:val="00DA4F75"/>
    <w:rsid w:val="00DF3FF8"/>
    <w:rsid w:val="00E07FB2"/>
    <w:rsid w:val="00E10AB4"/>
    <w:rsid w:val="00E2298D"/>
    <w:rsid w:val="00E3265A"/>
    <w:rsid w:val="00E5491A"/>
    <w:rsid w:val="00E67393"/>
    <w:rsid w:val="00E843B0"/>
    <w:rsid w:val="00E936E9"/>
    <w:rsid w:val="00E94E1F"/>
    <w:rsid w:val="00EA5BFC"/>
    <w:rsid w:val="00EB028F"/>
    <w:rsid w:val="00EB1FE0"/>
    <w:rsid w:val="00EC3DC3"/>
    <w:rsid w:val="00ED0BF2"/>
    <w:rsid w:val="00F01449"/>
    <w:rsid w:val="00F2574D"/>
    <w:rsid w:val="00F260C4"/>
    <w:rsid w:val="00F36E06"/>
    <w:rsid w:val="00F45913"/>
    <w:rsid w:val="00F47A69"/>
    <w:rsid w:val="00F517A6"/>
    <w:rsid w:val="00F52C3C"/>
    <w:rsid w:val="00F559BF"/>
    <w:rsid w:val="00F77781"/>
    <w:rsid w:val="00F86CCD"/>
    <w:rsid w:val="00F87513"/>
    <w:rsid w:val="00F95A1D"/>
    <w:rsid w:val="00FA28B7"/>
    <w:rsid w:val="00FB00D0"/>
    <w:rsid w:val="00FC0CE3"/>
    <w:rsid w:val="00FC2701"/>
    <w:rsid w:val="00FC6BDF"/>
    <w:rsid w:val="00FC7AEA"/>
    <w:rsid w:val="00FD22BF"/>
    <w:rsid w:val="00FE40B5"/>
    <w:rsid w:val="00FE47D7"/>
    <w:rsid w:val="00FF39F6"/>
    <w:rsid w:val="00FF5575"/>
    <w:rsid w:val="06204C5B"/>
    <w:rsid w:val="0CDD79D4"/>
    <w:rsid w:val="0DB317B6"/>
    <w:rsid w:val="126C7157"/>
    <w:rsid w:val="178C499A"/>
    <w:rsid w:val="21412E17"/>
    <w:rsid w:val="537F430A"/>
    <w:rsid w:val="55C3745E"/>
    <w:rsid w:val="652B6CE0"/>
    <w:rsid w:val="66963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32"/>
    <w:autoRedefine/>
    <w:qFormat/>
    <w:uiPriority w:val="9"/>
    <w:pPr>
      <w:widowControl/>
      <w:spacing w:line="560" w:lineRule="exact"/>
      <w:jc w:val="center"/>
      <w:outlineLvl w:val="0"/>
    </w:pPr>
    <w:rPr>
      <w:rFonts w:eastAsia="黑体"/>
      <w:color w:val="000000" w:themeColor="text1"/>
      <w:kern w:val="44"/>
      <w:szCs w:val="44"/>
      <w14:textFill>
        <w14:solidFill>
          <w14:schemeClr w14:val="tx1"/>
        </w14:solidFill>
      </w14:textFill>
    </w:rPr>
  </w:style>
  <w:style w:type="paragraph" w:styleId="3">
    <w:name w:val="heading 2"/>
    <w:basedOn w:val="1"/>
    <w:next w:val="1"/>
    <w:link w:val="33"/>
    <w:autoRedefine/>
    <w:unhideWhenUsed/>
    <w:qFormat/>
    <w:uiPriority w:val="9"/>
    <w:pPr>
      <w:widowControl/>
      <w:spacing w:line="560" w:lineRule="exact"/>
      <w:ind w:firstLine="643" w:firstLineChars="200"/>
      <w:outlineLvl w:val="1"/>
    </w:pPr>
    <w:rPr>
      <w:rFonts w:eastAsia="楷体_GB2312" w:cstheme="majorBidi"/>
      <w:b/>
      <w:bCs/>
      <w:szCs w:val="32"/>
    </w:rPr>
  </w:style>
  <w:style w:type="paragraph" w:styleId="4">
    <w:name w:val="heading 3"/>
    <w:basedOn w:val="1"/>
    <w:next w:val="1"/>
    <w:link w:val="34"/>
    <w:autoRedefine/>
    <w:unhideWhenUsed/>
    <w:qFormat/>
    <w:uiPriority w:val="9"/>
    <w:pPr>
      <w:widowControl/>
      <w:numPr>
        <w:ilvl w:val="2"/>
        <w:numId w:val="1"/>
      </w:numPr>
      <w:tabs>
        <w:tab w:val="left" w:pos="360"/>
      </w:tabs>
      <w:spacing w:before="60" w:after="60" w:line="360" w:lineRule="auto"/>
      <w:jc w:val="left"/>
      <w:outlineLvl w:val="2"/>
    </w:pPr>
    <w:rPr>
      <w:rFonts w:eastAsia="仿宋_GB2312" w:cstheme="minorBidi"/>
      <w:b/>
      <w:bCs/>
      <w:szCs w:val="32"/>
    </w:rPr>
  </w:style>
  <w:style w:type="paragraph" w:styleId="5">
    <w:name w:val="heading 4"/>
    <w:basedOn w:val="1"/>
    <w:next w:val="1"/>
    <w:link w:val="35"/>
    <w:unhideWhenUsed/>
    <w:qFormat/>
    <w:uiPriority w:val="9"/>
    <w:pPr>
      <w:keepNext/>
      <w:keepLines/>
      <w:spacing w:before="280" w:after="290" w:line="376" w:lineRule="atLeast"/>
      <w:ind w:firstLine="200" w:firstLineChars="200"/>
      <w:outlineLvl w:val="3"/>
    </w:pPr>
    <w:rPr>
      <w:rFonts w:asciiTheme="majorHAnsi" w:hAnsiTheme="majorHAnsi" w:eastAsiaTheme="majorEastAsia" w:cstheme="majorBidi"/>
      <w:b/>
      <w:bCs/>
      <w:sz w:val="28"/>
      <w:szCs w:val="28"/>
    </w:rPr>
  </w:style>
  <w:style w:type="paragraph" w:styleId="6">
    <w:name w:val="heading 5"/>
    <w:basedOn w:val="1"/>
    <w:next w:val="1"/>
    <w:link w:val="36"/>
    <w:autoRedefine/>
    <w:unhideWhenUsed/>
    <w:qFormat/>
    <w:uiPriority w:val="9"/>
    <w:pPr>
      <w:keepNext/>
      <w:keepLines/>
      <w:spacing w:before="280" w:after="290" w:line="376" w:lineRule="atLeast"/>
      <w:ind w:firstLine="200" w:firstLineChars="200"/>
      <w:outlineLvl w:val="4"/>
    </w:pPr>
    <w:rPr>
      <w:rFonts w:eastAsia="仿宋_GB2312" w:cstheme="minorBidi"/>
      <w:b/>
      <w:bCs/>
      <w:sz w:val="28"/>
      <w:szCs w:val="28"/>
    </w:rPr>
  </w:style>
  <w:style w:type="character" w:default="1" w:styleId="19">
    <w:name w:val="Default Paragraph Font"/>
    <w:semiHidden/>
    <w:unhideWhenUsed/>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7">
    <w:name w:val="caption"/>
    <w:basedOn w:val="1"/>
    <w:next w:val="1"/>
    <w:autoRedefine/>
    <w:unhideWhenUsed/>
    <w:qFormat/>
    <w:uiPriority w:val="35"/>
    <w:pPr>
      <w:spacing w:line="360" w:lineRule="auto"/>
      <w:jc w:val="center"/>
    </w:pPr>
    <w:rPr>
      <w:rFonts w:eastAsia="仿宋_GB2312" w:cstheme="majorBidi"/>
      <w:szCs w:val="20"/>
    </w:rPr>
  </w:style>
  <w:style w:type="paragraph" w:styleId="8">
    <w:name w:val="annotation text"/>
    <w:basedOn w:val="1"/>
    <w:link w:val="37"/>
    <w:unhideWhenUsed/>
    <w:qFormat/>
    <w:uiPriority w:val="99"/>
    <w:pPr>
      <w:spacing w:line="560" w:lineRule="exact"/>
      <w:ind w:firstLine="200" w:firstLineChars="200"/>
      <w:jc w:val="left"/>
    </w:pPr>
    <w:rPr>
      <w:rFonts w:eastAsia="仿宋_GB2312" w:cstheme="minorBidi"/>
    </w:rPr>
  </w:style>
  <w:style w:type="paragraph" w:styleId="9">
    <w:name w:val="Body Text"/>
    <w:basedOn w:val="1"/>
    <w:link w:val="38"/>
    <w:autoRedefine/>
    <w:qFormat/>
    <w:uiPriority w:val="1"/>
    <w:pPr>
      <w:ind w:left="120"/>
    </w:pPr>
    <w:rPr>
      <w:rFonts w:ascii="仿宋_GB2312" w:hAnsi="仿宋_GB2312" w:eastAsia="仿宋_GB2312" w:cstheme="minorBidi"/>
      <w:szCs w:val="32"/>
    </w:rPr>
  </w:style>
  <w:style w:type="paragraph" w:styleId="10">
    <w:name w:val="Date"/>
    <w:basedOn w:val="1"/>
    <w:next w:val="1"/>
    <w:link w:val="29"/>
    <w:qFormat/>
    <w:uiPriority w:val="99"/>
    <w:pPr>
      <w:ind w:left="100" w:leftChars="2500"/>
    </w:pPr>
  </w:style>
  <w:style w:type="paragraph" w:styleId="11">
    <w:name w:val="Balloon Text"/>
    <w:basedOn w:val="1"/>
    <w:link w:val="26"/>
    <w:autoRedefine/>
    <w:qFormat/>
    <w:uiPriority w:val="99"/>
    <w:rPr>
      <w:sz w:val="18"/>
      <w:szCs w:val="18"/>
    </w:rPr>
  </w:style>
  <w:style w:type="paragraph" w:styleId="12">
    <w:name w:val="footer"/>
    <w:basedOn w:val="1"/>
    <w:link w:val="25"/>
    <w:autoRedefine/>
    <w:qFormat/>
    <w:uiPriority w:val="99"/>
    <w:pPr>
      <w:tabs>
        <w:tab w:val="center" w:pos="4153"/>
        <w:tab w:val="right" w:pos="8306"/>
      </w:tabs>
      <w:snapToGrid w:val="0"/>
      <w:jc w:val="left"/>
    </w:pPr>
    <w:rPr>
      <w:sz w:val="18"/>
      <w:szCs w:val="18"/>
    </w:rPr>
  </w:style>
  <w:style w:type="paragraph" w:styleId="13">
    <w:name w:val="header"/>
    <w:basedOn w:val="1"/>
    <w:link w:val="24"/>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仿宋" w:hAnsi="宋体" w:cs="宋体"/>
      <w:kern w:val="0"/>
    </w:rPr>
  </w:style>
  <w:style w:type="paragraph" w:styleId="15">
    <w:name w:val="Title"/>
    <w:basedOn w:val="1"/>
    <w:next w:val="1"/>
    <w:link w:val="39"/>
    <w:autoRedefine/>
    <w:qFormat/>
    <w:uiPriority w:val="10"/>
    <w:pPr>
      <w:spacing w:line="560" w:lineRule="exact"/>
      <w:jc w:val="center"/>
      <w:outlineLvl w:val="0"/>
    </w:pPr>
    <w:rPr>
      <w:rFonts w:eastAsia="楷体_GB2312" w:cstheme="majorBidi"/>
      <w:bCs/>
      <w:szCs w:val="32"/>
    </w:rPr>
  </w:style>
  <w:style w:type="paragraph" w:styleId="16">
    <w:name w:val="annotation subject"/>
    <w:basedOn w:val="8"/>
    <w:next w:val="8"/>
    <w:link w:val="40"/>
    <w:unhideWhenUsed/>
    <w:qFormat/>
    <w:uiPriority w:val="99"/>
    <w:rPr>
      <w:b/>
      <w:bCs/>
    </w:rPr>
  </w:style>
  <w:style w:type="table" w:styleId="18">
    <w:name w:val="Table Grid"/>
    <w:basedOn w:val="1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22"/>
    <w:rPr>
      <w:b/>
      <w:bCs/>
    </w:rPr>
  </w:style>
  <w:style w:type="character" w:styleId="21">
    <w:name w:val="FollowedHyperlink"/>
    <w:basedOn w:val="19"/>
    <w:unhideWhenUsed/>
    <w:qFormat/>
    <w:uiPriority w:val="99"/>
    <w:rPr>
      <w:color w:val="800080"/>
      <w:u w:val="single"/>
    </w:rPr>
  </w:style>
  <w:style w:type="character" w:styleId="22">
    <w:name w:val="Hyperlink"/>
    <w:autoRedefine/>
    <w:qFormat/>
    <w:uiPriority w:val="99"/>
    <w:rPr>
      <w:color w:val="0000FF"/>
      <w:u w:val="single"/>
    </w:rPr>
  </w:style>
  <w:style w:type="character" w:styleId="23">
    <w:name w:val="annotation reference"/>
    <w:basedOn w:val="19"/>
    <w:autoRedefine/>
    <w:unhideWhenUsed/>
    <w:qFormat/>
    <w:uiPriority w:val="99"/>
    <w:rPr>
      <w:sz w:val="21"/>
      <w:szCs w:val="21"/>
    </w:rPr>
  </w:style>
  <w:style w:type="character" w:customStyle="1" w:styleId="24">
    <w:name w:val="页眉 Char"/>
    <w:link w:val="13"/>
    <w:qFormat/>
    <w:uiPriority w:val="99"/>
    <w:rPr>
      <w:kern w:val="2"/>
      <w:sz w:val="18"/>
      <w:szCs w:val="18"/>
    </w:rPr>
  </w:style>
  <w:style w:type="character" w:customStyle="1" w:styleId="25">
    <w:name w:val="页脚 Char"/>
    <w:link w:val="12"/>
    <w:autoRedefine/>
    <w:qFormat/>
    <w:uiPriority w:val="99"/>
    <w:rPr>
      <w:kern w:val="2"/>
      <w:sz w:val="18"/>
      <w:szCs w:val="18"/>
    </w:rPr>
  </w:style>
  <w:style w:type="character" w:customStyle="1" w:styleId="26">
    <w:name w:val="批注框文本 Char"/>
    <w:link w:val="11"/>
    <w:autoRedefine/>
    <w:qFormat/>
    <w:uiPriority w:val="99"/>
    <w:rPr>
      <w:kern w:val="2"/>
      <w:sz w:val="18"/>
      <w:szCs w:val="18"/>
    </w:rPr>
  </w:style>
  <w:style w:type="paragraph" w:styleId="27">
    <w:name w:val="List Paragraph"/>
    <w:basedOn w:val="1"/>
    <w:autoRedefine/>
    <w:qFormat/>
    <w:uiPriority w:val="99"/>
    <w:pPr>
      <w:ind w:firstLine="420" w:firstLineChars="200"/>
    </w:pPr>
    <w:rPr>
      <w:rFonts w:ascii="Calibri" w:hAnsi="Calibri"/>
      <w:szCs w:val="22"/>
    </w:rPr>
  </w:style>
  <w:style w:type="paragraph" w:customStyle="1" w:styleId="28">
    <w:name w:val="样式 样式1 + 红色"/>
    <w:basedOn w:val="1"/>
    <w:autoRedefine/>
    <w:qFormat/>
    <w:uiPriority w:val="0"/>
    <w:pPr>
      <w:keepNext/>
      <w:keepLines/>
      <w:spacing w:before="340" w:after="330" w:line="578" w:lineRule="auto"/>
      <w:jc w:val="center"/>
      <w:outlineLvl w:val="0"/>
    </w:pPr>
    <w:rPr>
      <w:rFonts w:eastAsia="黑体"/>
      <w:b/>
      <w:bCs/>
      <w:color w:val="FF0000"/>
      <w:kern w:val="44"/>
      <w:szCs w:val="44"/>
    </w:rPr>
  </w:style>
  <w:style w:type="character" w:customStyle="1" w:styleId="29">
    <w:name w:val="日期 Char"/>
    <w:link w:val="10"/>
    <w:qFormat/>
    <w:uiPriority w:val="99"/>
    <w:rPr>
      <w:kern w:val="2"/>
      <w:sz w:val="21"/>
      <w:szCs w:val="24"/>
    </w:rPr>
  </w:style>
  <w:style w:type="character" w:customStyle="1" w:styleId="30">
    <w:name w:val="未处理的提及"/>
    <w:autoRedefine/>
    <w:semiHidden/>
    <w:unhideWhenUsed/>
    <w:qFormat/>
    <w:uiPriority w:val="99"/>
    <w:rPr>
      <w:color w:val="605E5C"/>
      <w:shd w:val="clear" w:color="auto" w:fill="E1DFDD"/>
    </w:rPr>
  </w:style>
  <w:style w:type="paragraph" w:customStyle="1" w:styleId="31">
    <w:name w:val="列出段落1"/>
    <w:basedOn w:val="1"/>
    <w:next w:val="27"/>
    <w:autoRedefine/>
    <w:qFormat/>
    <w:uiPriority w:val="34"/>
    <w:pPr>
      <w:ind w:firstLine="420" w:firstLineChars="200"/>
    </w:pPr>
    <w:rPr>
      <w:rFonts w:ascii="Calibri" w:hAnsi="Calibri"/>
      <w:szCs w:val="22"/>
    </w:rPr>
  </w:style>
  <w:style w:type="character" w:customStyle="1" w:styleId="32">
    <w:name w:val="标题 1 Char"/>
    <w:basedOn w:val="19"/>
    <w:link w:val="2"/>
    <w:qFormat/>
    <w:uiPriority w:val="9"/>
    <w:rPr>
      <w:rFonts w:eastAsia="黑体"/>
      <w:color w:val="000000" w:themeColor="text1"/>
      <w:kern w:val="44"/>
      <w:sz w:val="32"/>
      <w:szCs w:val="44"/>
      <w14:textFill>
        <w14:solidFill>
          <w14:schemeClr w14:val="tx1"/>
        </w14:solidFill>
      </w14:textFill>
    </w:rPr>
  </w:style>
  <w:style w:type="character" w:customStyle="1" w:styleId="33">
    <w:name w:val="标题 2 Char"/>
    <w:basedOn w:val="19"/>
    <w:link w:val="3"/>
    <w:autoRedefine/>
    <w:qFormat/>
    <w:uiPriority w:val="9"/>
    <w:rPr>
      <w:rFonts w:eastAsia="楷体_GB2312" w:cstheme="majorBidi"/>
      <w:b/>
      <w:bCs/>
      <w:kern w:val="2"/>
      <w:sz w:val="32"/>
      <w:szCs w:val="32"/>
    </w:rPr>
  </w:style>
  <w:style w:type="character" w:customStyle="1" w:styleId="34">
    <w:name w:val="标题 3 Char"/>
    <w:basedOn w:val="19"/>
    <w:link w:val="4"/>
    <w:autoRedefine/>
    <w:qFormat/>
    <w:uiPriority w:val="9"/>
    <w:rPr>
      <w:rFonts w:eastAsia="仿宋_GB2312" w:cstheme="minorBidi"/>
      <w:b/>
      <w:bCs/>
      <w:kern w:val="2"/>
      <w:sz w:val="32"/>
      <w:szCs w:val="32"/>
    </w:rPr>
  </w:style>
  <w:style w:type="character" w:customStyle="1" w:styleId="35">
    <w:name w:val="标题 4 Char"/>
    <w:basedOn w:val="19"/>
    <w:link w:val="5"/>
    <w:autoRedefine/>
    <w:qFormat/>
    <w:uiPriority w:val="9"/>
    <w:rPr>
      <w:rFonts w:asciiTheme="majorHAnsi" w:hAnsiTheme="majorHAnsi" w:eastAsiaTheme="majorEastAsia" w:cstheme="majorBidi"/>
      <w:b/>
      <w:bCs/>
      <w:kern w:val="2"/>
      <w:sz w:val="28"/>
      <w:szCs w:val="28"/>
    </w:rPr>
  </w:style>
  <w:style w:type="character" w:customStyle="1" w:styleId="36">
    <w:name w:val="标题 5 Char"/>
    <w:basedOn w:val="19"/>
    <w:link w:val="6"/>
    <w:autoRedefine/>
    <w:qFormat/>
    <w:uiPriority w:val="9"/>
    <w:rPr>
      <w:rFonts w:eastAsia="仿宋_GB2312" w:cstheme="minorBidi"/>
      <w:b/>
      <w:bCs/>
      <w:kern w:val="2"/>
      <w:sz w:val="28"/>
      <w:szCs w:val="28"/>
    </w:rPr>
  </w:style>
  <w:style w:type="character" w:customStyle="1" w:styleId="37">
    <w:name w:val="批注文字 Char"/>
    <w:basedOn w:val="19"/>
    <w:link w:val="8"/>
    <w:autoRedefine/>
    <w:qFormat/>
    <w:uiPriority w:val="99"/>
    <w:rPr>
      <w:rFonts w:eastAsia="仿宋_GB2312" w:cstheme="minorBidi"/>
      <w:kern w:val="2"/>
      <w:sz w:val="32"/>
      <w:szCs w:val="24"/>
    </w:rPr>
  </w:style>
  <w:style w:type="character" w:customStyle="1" w:styleId="38">
    <w:name w:val="正文文本 Char"/>
    <w:basedOn w:val="19"/>
    <w:link w:val="9"/>
    <w:autoRedefine/>
    <w:qFormat/>
    <w:uiPriority w:val="1"/>
    <w:rPr>
      <w:rFonts w:ascii="仿宋_GB2312" w:hAnsi="仿宋_GB2312" w:eastAsia="仿宋_GB2312" w:cstheme="minorBidi"/>
      <w:kern w:val="2"/>
      <w:sz w:val="32"/>
      <w:szCs w:val="32"/>
    </w:rPr>
  </w:style>
  <w:style w:type="character" w:customStyle="1" w:styleId="39">
    <w:name w:val="标题 Char"/>
    <w:basedOn w:val="19"/>
    <w:link w:val="15"/>
    <w:qFormat/>
    <w:uiPriority w:val="10"/>
    <w:rPr>
      <w:rFonts w:eastAsia="楷体_GB2312" w:cstheme="majorBidi"/>
      <w:bCs/>
      <w:kern w:val="2"/>
      <w:sz w:val="32"/>
      <w:szCs w:val="32"/>
    </w:rPr>
  </w:style>
  <w:style w:type="character" w:customStyle="1" w:styleId="40">
    <w:name w:val="批注主题 Char"/>
    <w:basedOn w:val="37"/>
    <w:link w:val="16"/>
    <w:autoRedefine/>
    <w:qFormat/>
    <w:uiPriority w:val="99"/>
    <w:rPr>
      <w:rFonts w:eastAsia="仿宋_GB2312" w:cstheme="minorBidi"/>
      <w:b/>
      <w:bCs/>
      <w:kern w:val="2"/>
      <w:sz w:val="32"/>
      <w:szCs w:val="24"/>
    </w:rPr>
  </w:style>
  <w:style w:type="paragraph" w:styleId="41">
    <w:name w:val="No Spacing"/>
    <w:next w:val="1"/>
    <w:qFormat/>
    <w:uiPriority w:val="1"/>
    <w:pPr>
      <w:widowControl w:val="0"/>
      <w:spacing w:line="560" w:lineRule="exact"/>
      <w:jc w:val="center"/>
    </w:pPr>
    <w:rPr>
      <w:rFonts w:ascii="Times New Roman" w:hAnsi="Times New Roman" w:eastAsia="方正小标宋简体" w:cstheme="minorBidi"/>
      <w:kern w:val="2"/>
      <w:sz w:val="44"/>
      <w:szCs w:val="24"/>
      <w:lang w:val="en-US" w:eastAsia="zh-CN" w:bidi="ar-SA"/>
    </w:rPr>
  </w:style>
  <w:style w:type="table" w:customStyle="1" w:styleId="4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3">
    <w:name w:val="Table Paragraph"/>
    <w:basedOn w:val="1"/>
    <w:qFormat/>
    <w:uiPriority w:val="1"/>
    <w:pPr>
      <w:autoSpaceDE w:val="0"/>
      <w:autoSpaceDN w:val="0"/>
      <w:ind w:left="107"/>
      <w:jc w:val="left"/>
    </w:pPr>
    <w:rPr>
      <w:rFonts w:ascii="宋体" w:hAnsi="宋体" w:cs="宋体"/>
      <w:kern w:val="0"/>
      <w:sz w:val="22"/>
      <w:szCs w:val="22"/>
      <w:lang w:eastAsia="en-US"/>
    </w:rPr>
  </w:style>
  <w:style w:type="paragraph" w:customStyle="1" w:styleId="44">
    <w:name w:val="EndNote Bibliography Title"/>
    <w:basedOn w:val="1"/>
    <w:link w:val="45"/>
    <w:qFormat/>
    <w:uiPriority w:val="0"/>
    <w:pPr>
      <w:spacing w:line="560" w:lineRule="exact"/>
      <w:ind w:firstLine="200" w:firstLineChars="200"/>
      <w:jc w:val="center"/>
    </w:pPr>
    <w:rPr>
      <w:rFonts w:eastAsia="仿宋_GB2312"/>
    </w:rPr>
  </w:style>
  <w:style w:type="character" w:customStyle="1" w:styleId="45">
    <w:name w:val="EndNote Bibliography Title 字符"/>
    <w:basedOn w:val="19"/>
    <w:link w:val="44"/>
    <w:autoRedefine/>
    <w:qFormat/>
    <w:uiPriority w:val="0"/>
    <w:rPr>
      <w:rFonts w:eastAsia="仿宋_GB2312"/>
      <w:kern w:val="2"/>
      <w:sz w:val="32"/>
      <w:szCs w:val="24"/>
    </w:rPr>
  </w:style>
  <w:style w:type="paragraph" w:customStyle="1" w:styleId="46">
    <w:name w:val="EndNote Bibliography"/>
    <w:basedOn w:val="1"/>
    <w:link w:val="47"/>
    <w:autoRedefine/>
    <w:qFormat/>
    <w:uiPriority w:val="0"/>
    <w:pPr>
      <w:spacing w:line="240" w:lineRule="exact"/>
      <w:ind w:firstLine="200" w:firstLineChars="200"/>
    </w:pPr>
    <w:rPr>
      <w:rFonts w:eastAsia="仿宋_GB2312"/>
    </w:rPr>
  </w:style>
  <w:style w:type="character" w:customStyle="1" w:styleId="47">
    <w:name w:val="EndNote Bibliography 字符"/>
    <w:basedOn w:val="19"/>
    <w:link w:val="46"/>
    <w:autoRedefine/>
    <w:qFormat/>
    <w:uiPriority w:val="0"/>
    <w:rPr>
      <w:rFonts w:eastAsia="仿宋_GB2312"/>
      <w:kern w:val="2"/>
      <w:sz w:val="32"/>
      <w:szCs w:val="24"/>
    </w:rPr>
  </w:style>
  <w:style w:type="paragraph" w:customStyle="1" w:styleId="48">
    <w:name w:val="正文缩进1"/>
    <w:basedOn w:val="1"/>
    <w:autoRedefine/>
    <w:qFormat/>
    <w:uiPriority w:val="0"/>
    <w:pPr>
      <w:ind w:firstLine="420"/>
    </w:pPr>
    <w:rPr>
      <w:szCs w:val="22"/>
    </w:rPr>
  </w:style>
  <w:style w:type="paragraph" w:customStyle="1" w:styleId="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font6"/>
    <w:basedOn w:val="1"/>
    <w:qFormat/>
    <w:uiPriority w:val="0"/>
    <w:pPr>
      <w:widowControl/>
      <w:spacing w:before="100" w:beforeAutospacing="1" w:after="100" w:afterAutospacing="1"/>
      <w:jc w:val="left"/>
    </w:pPr>
    <w:rPr>
      <w:color w:val="000000"/>
      <w:kern w:val="0"/>
      <w:sz w:val="28"/>
      <w:szCs w:val="28"/>
    </w:rPr>
  </w:style>
  <w:style w:type="paragraph" w:customStyle="1" w:styleId="51">
    <w:name w:val="font7"/>
    <w:basedOn w:val="1"/>
    <w:autoRedefine/>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52">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4">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6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6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6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cs="宋体"/>
      <w:b/>
      <w:bCs/>
      <w:kern w:val="0"/>
      <w:sz w:val="28"/>
      <w:szCs w:val="28"/>
    </w:rPr>
  </w:style>
  <w:style w:type="paragraph" w:customStyle="1" w:styleId="63">
    <w:name w:val="xl74"/>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64">
    <w:name w:val="xl75"/>
    <w:basedOn w:val="1"/>
    <w:qFormat/>
    <w:uiPriority w:val="0"/>
    <w:pPr>
      <w:widowControl/>
      <w:spacing w:before="100" w:beforeAutospacing="1" w:after="100" w:afterAutospacing="1"/>
      <w:jc w:val="left"/>
      <w:textAlignment w:val="center"/>
    </w:pPr>
    <w:rPr>
      <w:rFonts w:ascii="宋体" w:hAnsi="宋体" w:cs="宋体"/>
      <w:kern w:val="0"/>
      <w:sz w:val="28"/>
      <w:szCs w:val="28"/>
    </w:rPr>
  </w:style>
  <w:style w:type="paragraph" w:customStyle="1" w:styleId="65">
    <w:name w:val="xl7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66">
    <w:name w:val="xl7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67">
    <w:name w:val="xl78"/>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69">
    <w:name w:val="Char Char Char Char Char Char"/>
    <w:basedOn w:val="1"/>
    <w:qFormat/>
    <w:uiPriority w:val="0"/>
  </w:style>
  <w:style w:type="character" w:customStyle="1" w:styleId="70">
    <w:name w:val="font41"/>
    <w:basedOn w:val="19"/>
    <w:autoRedefine/>
    <w:qFormat/>
    <w:uiPriority w:val="0"/>
    <w:rPr>
      <w:rFonts w:hint="eastAsia" w:ascii="宋体" w:hAnsi="宋体" w:eastAsia="宋体" w:cs="宋体"/>
      <w:color w:val="000000"/>
      <w:sz w:val="28"/>
      <w:szCs w:val="28"/>
      <w:u w:val="none"/>
    </w:rPr>
  </w:style>
  <w:style w:type="character" w:customStyle="1" w:styleId="71">
    <w:name w:val="font51"/>
    <w:basedOn w:val="19"/>
    <w:autoRedefine/>
    <w:qFormat/>
    <w:uiPriority w:val="0"/>
    <w:rPr>
      <w:rFonts w:ascii="仿宋" w:hAnsi="仿宋" w:eastAsia="仿宋" w:cs="仿宋"/>
      <w:color w:val="000000"/>
      <w:sz w:val="24"/>
      <w:szCs w:val="24"/>
      <w:u w:val="none"/>
    </w:rPr>
  </w:style>
  <w:style w:type="character" w:customStyle="1" w:styleId="72">
    <w:name w:val="fontstyle01"/>
    <w:basedOn w:val="19"/>
    <w:autoRedefine/>
    <w:qFormat/>
    <w:uiPriority w:val="0"/>
    <w:rPr>
      <w:rFonts w:hint="eastAsia" w:ascii="仿宋_GB2312" w:eastAsia="仿宋_GB2312"/>
      <w:color w:val="111111"/>
      <w:sz w:val="32"/>
      <w:szCs w:val="32"/>
    </w:rPr>
  </w:style>
  <w:style w:type="character" w:customStyle="1" w:styleId="73">
    <w:name w:val="font21"/>
    <w:basedOn w:val="19"/>
    <w:autoRedefine/>
    <w:qFormat/>
    <w:uiPriority w:val="0"/>
    <w:rPr>
      <w:rFonts w:hint="eastAsia" w:ascii="宋体" w:hAnsi="宋体" w:eastAsia="宋体" w:cs="宋体"/>
      <w:color w:val="000000"/>
      <w:sz w:val="28"/>
      <w:szCs w:val="28"/>
      <w:u w:val="none"/>
    </w:rPr>
  </w:style>
  <w:style w:type="character" w:customStyle="1" w:styleId="74">
    <w:name w:val="font31"/>
    <w:basedOn w:val="19"/>
    <w:autoRedefine/>
    <w:qFormat/>
    <w:uiPriority w:val="0"/>
    <w:rPr>
      <w:rFonts w:hint="eastAsia" w:ascii="宋体" w:hAnsi="宋体" w:eastAsia="宋体" w:cs="宋体"/>
      <w:color w:val="000000"/>
      <w:sz w:val="28"/>
      <w:szCs w:val="28"/>
      <w:u w:val="none"/>
    </w:rPr>
  </w:style>
  <w:style w:type="paragraph" w:customStyle="1" w:styleId="75">
    <w:name w:val="标题1"/>
    <w:basedOn w:val="1"/>
    <w:link w:val="77"/>
    <w:autoRedefine/>
    <w:qFormat/>
    <w:uiPriority w:val="0"/>
    <w:pPr>
      <w:widowControl/>
      <w:snapToGrid w:val="0"/>
      <w:spacing w:line="300" w:lineRule="auto"/>
      <w:jc w:val="center"/>
    </w:pPr>
    <w:rPr>
      <w:rFonts w:ascii="方正小标宋简体" w:hAnsi="方正小标宋简体" w:eastAsia="方正小标宋简体" w:cs="方正小标宋简体"/>
      <w:color w:val="000000"/>
      <w:kern w:val="0"/>
      <w:sz w:val="43"/>
      <w:szCs w:val="43"/>
    </w:rPr>
  </w:style>
  <w:style w:type="paragraph" w:customStyle="1" w:styleId="76">
    <w:name w:val="文件名"/>
    <w:basedOn w:val="1"/>
    <w:link w:val="78"/>
    <w:autoRedefine/>
    <w:qFormat/>
    <w:uiPriority w:val="0"/>
    <w:pPr>
      <w:snapToGrid w:val="0"/>
      <w:spacing w:line="300" w:lineRule="auto"/>
      <w:jc w:val="center"/>
    </w:pPr>
    <w:rPr>
      <w:rFonts w:ascii="方正小标宋简体" w:hAnsi="华文中宋" w:eastAsia="方正小标宋简体"/>
      <w:snapToGrid w:val="0"/>
      <w:kern w:val="0"/>
      <w:sz w:val="44"/>
      <w:szCs w:val="44"/>
    </w:rPr>
  </w:style>
  <w:style w:type="character" w:customStyle="1" w:styleId="77">
    <w:name w:val="标题1 Char"/>
    <w:basedOn w:val="19"/>
    <w:link w:val="75"/>
    <w:qFormat/>
    <w:uiPriority w:val="0"/>
    <w:rPr>
      <w:rFonts w:ascii="方正小标宋简体" w:hAnsi="方正小标宋简体" w:eastAsia="方正小标宋简体" w:cs="方正小标宋简体"/>
      <w:color w:val="000000"/>
      <w:sz w:val="43"/>
      <w:szCs w:val="43"/>
    </w:rPr>
  </w:style>
  <w:style w:type="character" w:customStyle="1" w:styleId="78">
    <w:name w:val="文件名 Char"/>
    <w:basedOn w:val="19"/>
    <w:link w:val="76"/>
    <w:uiPriority w:val="0"/>
    <w:rPr>
      <w:rFonts w:ascii="方正小标宋简体" w:hAnsi="华文中宋" w:eastAsia="方正小标宋简体"/>
      <w:snapToGrid w:val="0"/>
      <w:sz w:val="44"/>
      <w:szCs w:val="44"/>
    </w:rPr>
  </w:style>
  <w:style w:type="table" w:customStyle="1" w:styleId="79">
    <w:name w:val="网格型1"/>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0">
    <w:name w:val="font0"/>
    <w:basedOn w:val="1"/>
    <w:uiPriority w:val="0"/>
    <w:pPr>
      <w:widowControl/>
      <w:spacing w:before="100" w:beforeAutospacing="1" w:after="100" w:afterAutospacing="1"/>
      <w:jc w:val="left"/>
    </w:pPr>
    <w:rPr>
      <w:rFonts w:ascii="Calibri" w:hAnsi="Calibri" w:cs="Calibri"/>
      <w:color w:val="000000"/>
      <w:kern w:val="0"/>
      <w:sz w:val="22"/>
      <w:szCs w:val="22"/>
    </w:rPr>
  </w:style>
  <w:style w:type="paragraph" w:customStyle="1" w:styleId="81">
    <w:name w:val="font1"/>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82">
    <w:name w:val="font2"/>
    <w:basedOn w:val="1"/>
    <w:autoRedefine/>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83">
    <w:name w:val="font3"/>
    <w:basedOn w:val="1"/>
    <w:qFormat/>
    <w:uiPriority w:val="0"/>
    <w:pPr>
      <w:widowControl/>
      <w:spacing w:before="100" w:beforeAutospacing="1" w:after="100" w:afterAutospacing="1"/>
      <w:jc w:val="left"/>
    </w:pPr>
    <w:rPr>
      <w:rFonts w:ascii="宋体" w:hAnsi="宋体" w:cs="宋体"/>
      <w:b/>
      <w:bCs/>
      <w:color w:val="000000"/>
      <w:kern w:val="0"/>
      <w:sz w:val="36"/>
      <w:szCs w:val="36"/>
    </w:rPr>
  </w:style>
  <w:style w:type="paragraph" w:customStyle="1" w:styleId="84">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85">
    <w:name w:val="et2"/>
    <w:basedOn w:val="1"/>
    <w:autoRedefine/>
    <w:qFormat/>
    <w:uiPriority w:val="0"/>
    <w:pPr>
      <w:widowControl/>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86">
    <w:name w:val="et3"/>
    <w:basedOn w:val="1"/>
    <w:uiPriority w:val="0"/>
    <w:pPr>
      <w:widowControl/>
      <w:spacing w:before="100" w:beforeAutospacing="1" w:after="100" w:afterAutospacing="1"/>
      <w:jc w:val="left"/>
      <w:textAlignment w:val="center"/>
    </w:pPr>
    <w:rPr>
      <w:rFonts w:ascii="宋体" w:hAnsi="宋体" w:cs="宋体"/>
      <w:color w:val="000000"/>
      <w:kern w:val="0"/>
      <w:sz w:val="20"/>
      <w:szCs w:val="20"/>
    </w:rPr>
  </w:style>
  <w:style w:type="paragraph" w:customStyle="1" w:styleId="87">
    <w:name w:val="et4"/>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88">
    <w:name w:val="et5"/>
    <w:basedOn w:val="1"/>
    <w:uiPriority w:val="0"/>
    <w:pPr>
      <w:widowControl/>
      <w:spacing w:before="100" w:beforeAutospacing="1" w:after="100" w:afterAutospacing="1"/>
      <w:jc w:val="left"/>
      <w:textAlignment w:val="center"/>
    </w:pPr>
    <w:rPr>
      <w:rFonts w:ascii="宋体" w:hAnsi="宋体" w:cs="宋体"/>
      <w:color w:val="000000"/>
      <w:kern w:val="0"/>
      <w:sz w:val="20"/>
      <w:szCs w:val="20"/>
    </w:rPr>
  </w:style>
  <w:style w:type="paragraph" w:customStyle="1" w:styleId="89">
    <w:name w:val="et6"/>
    <w:basedOn w:val="1"/>
    <w:qFormat/>
    <w:uiPriority w:val="0"/>
    <w:pPr>
      <w:widowControl/>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90">
    <w:name w:val="et8"/>
    <w:basedOn w:val="1"/>
    <w:autoRedefine/>
    <w:qFormat/>
    <w:uiPriority w:val="0"/>
    <w:pPr>
      <w:widowControl/>
      <w:pBdr>
        <w:bottom w:val="single" w:color="000000" w:sz="4" w:space="0"/>
      </w:pBdr>
      <w:spacing w:before="100" w:beforeAutospacing="1" w:after="100" w:afterAutospacing="1"/>
      <w:jc w:val="center"/>
      <w:textAlignment w:val="center"/>
    </w:pPr>
    <w:rPr>
      <w:rFonts w:ascii="宋体" w:hAnsi="宋体" w:cs="宋体"/>
      <w:b/>
      <w:bCs/>
      <w:color w:val="000000"/>
      <w:kern w:val="0"/>
      <w:sz w:val="36"/>
      <w:szCs w:val="36"/>
    </w:rPr>
  </w:style>
  <w:style w:type="paragraph" w:customStyle="1" w:styleId="91">
    <w:name w:val="et9"/>
    <w:basedOn w:val="1"/>
    <w:autoRedefine/>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92">
    <w:name w:val="et1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93">
    <w:name w:val="et11"/>
    <w:basedOn w:val="1"/>
    <w:autoRedefine/>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94">
    <w:name w:val="et12"/>
    <w:basedOn w:val="1"/>
    <w:autoRedefine/>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95">
    <w:name w:val="et1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96">
    <w:name w:val="et14"/>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7">
    <w:name w:val="et1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98">
    <w:name w:val="et16"/>
    <w:basedOn w:val="1"/>
    <w:autoRedefine/>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9">
    <w:name w:val="et17"/>
    <w:basedOn w:val="1"/>
    <w:autoRedefine/>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00">
    <w:name w:val="et1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hAnsi="宋体" w:cs="宋体"/>
      <w:color w:val="000000"/>
      <w:kern w:val="0"/>
      <w:sz w:val="20"/>
      <w:szCs w:val="20"/>
    </w:rPr>
  </w:style>
  <w:style w:type="paragraph" w:customStyle="1" w:styleId="101">
    <w:name w:val="et25"/>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2">
    <w:name w:val="et27"/>
    <w:basedOn w:val="1"/>
    <w:autoRedefine/>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03">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4">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05">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644FC-9EAB-4D23-A82C-9B0DD11296EB}">
  <ds:schemaRefs/>
</ds:datastoreItem>
</file>

<file path=docProps/app.xml><?xml version="1.0" encoding="utf-8"?>
<Properties xmlns="http://schemas.openxmlformats.org/officeDocument/2006/extended-properties" xmlns:vt="http://schemas.openxmlformats.org/officeDocument/2006/docPropsVTypes">
  <Template>Normal</Template>
  <Pages>32</Pages>
  <Words>3134</Words>
  <Characters>17868</Characters>
  <Lines>148</Lines>
  <Paragraphs>41</Paragraphs>
  <TotalTime>13</TotalTime>
  <ScaleCrop>false</ScaleCrop>
  <LinksUpToDate>false</LinksUpToDate>
  <CharactersWithSpaces>20961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2024-03-11T08:44:00Z</dcterms:created>
  <dc:creator>admin</dc:creator>
  <cp:lastModifiedBy>如是</cp:lastModifiedBy>
  <cp:lastPrinted>2024-03-11T08:57:00Z</cp:lastPrinted>
  <dcterms:modified xsi:type="dcterms:W3CDTF">2024-03-12T01:14:30Z</dcterms:modified>
  <dc:title>浙江省哲学社会科学工作办公室工作规则（草案）</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52D303A8533E435B9D9FC338ECA1426D_13</vt:lpwstr>
  </property>
</Properties>
</file>